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99" w:rsidRPr="001E2670" w:rsidRDefault="00225399" w:rsidP="003923DB">
      <w:pPr>
        <w:shd w:val="clear" w:color="auto" w:fill="DAEEF3"/>
        <w:tabs>
          <w:tab w:val="left" w:pos="7905"/>
        </w:tabs>
        <w:ind w:left="708"/>
        <w:rPr>
          <w:rFonts w:ascii="Calibri" w:hAnsi="Calibri" w:cs="Arial"/>
          <w:sz w:val="22"/>
          <w:szCs w:val="22"/>
        </w:rPr>
      </w:pPr>
      <w:r w:rsidRPr="001E2670">
        <w:rPr>
          <w:rFonts w:ascii="Calibri" w:hAnsi="Calibri" w:cs="Arial"/>
          <w:sz w:val="22"/>
          <w:szCs w:val="22"/>
        </w:rPr>
        <w:tab/>
      </w:r>
    </w:p>
    <w:p w:rsidR="00225399" w:rsidRPr="001E2670" w:rsidRDefault="00225399" w:rsidP="003923DB">
      <w:pPr>
        <w:shd w:val="clear" w:color="auto" w:fill="DAEEF3"/>
        <w:tabs>
          <w:tab w:val="left" w:pos="7905"/>
        </w:tabs>
        <w:ind w:left="708"/>
        <w:rPr>
          <w:rFonts w:ascii="Calibri" w:hAnsi="Calibri" w:cs="Arial"/>
          <w:sz w:val="22"/>
          <w:szCs w:val="22"/>
        </w:rPr>
      </w:pPr>
      <w:r w:rsidRPr="001D06A8">
        <w:rPr>
          <w:rFonts w:ascii="Calibri" w:hAnsi="Calibri"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14pt;height:79.5pt;visibility:visible">
            <v:imagedata r:id="rId7" o:title=""/>
          </v:shape>
        </w:pict>
      </w:r>
    </w:p>
    <w:p w:rsidR="00225399" w:rsidRPr="001E2670" w:rsidRDefault="00225399" w:rsidP="00FB5E11">
      <w:pPr>
        <w:pStyle w:val="Heading1"/>
        <w:jc w:val="center"/>
        <w:rPr>
          <w:rFonts w:ascii="Calibri" w:hAnsi="Calibri"/>
          <w:sz w:val="22"/>
          <w:szCs w:val="22"/>
        </w:rPr>
      </w:pPr>
      <w:r w:rsidRPr="001E2670">
        <w:rPr>
          <w:rFonts w:ascii="Calibri" w:hAnsi="Calibri"/>
          <w:sz w:val="22"/>
          <w:szCs w:val="22"/>
        </w:rPr>
        <w:t>Liceo Artistico Statale “P. Petrocchi”</w:t>
      </w:r>
    </w:p>
    <w:p w:rsidR="00225399" w:rsidRPr="001E2670" w:rsidRDefault="00225399" w:rsidP="00FB5E11">
      <w:pPr>
        <w:spacing w:after="40"/>
        <w:jc w:val="center"/>
        <w:rPr>
          <w:rFonts w:ascii="Calibri" w:hAnsi="Calibri" w:cs="Arial"/>
          <w:spacing w:val="36"/>
          <w:sz w:val="22"/>
          <w:szCs w:val="22"/>
        </w:rPr>
      </w:pPr>
      <w:r w:rsidRPr="001E2670">
        <w:rPr>
          <w:rFonts w:ascii="Calibri" w:hAnsi="Calibri" w:cs="Arial"/>
          <w:spacing w:val="36"/>
          <w:sz w:val="22"/>
          <w:szCs w:val="22"/>
        </w:rPr>
        <w:t>P.zza S. Pietro, 4 - 51100 Pistoia</w:t>
      </w:r>
    </w:p>
    <w:p w:rsidR="00225399" w:rsidRPr="001E2670" w:rsidRDefault="00225399" w:rsidP="00FB5E11">
      <w:pPr>
        <w:spacing w:after="40"/>
        <w:jc w:val="center"/>
        <w:rPr>
          <w:rFonts w:ascii="Calibri" w:hAnsi="Calibri" w:cs="Arial"/>
          <w:spacing w:val="8"/>
          <w:sz w:val="22"/>
          <w:szCs w:val="22"/>
        </w:rPr>
      </w:pPr>
      <w:r w:rsidRPr="001E2670">
        <w:rPr>
          <w:rFonts w:ascii="Calibri" w:hAnsi="Calibri" w:cs="Arial"/>
          <w:spacing w:val="8"/>
          <w:sz w:val="22"/>
          <w:szCs w:val="22"/>
        </w:rPr>
        <w:t>Tel. : 0573 364708 - 975029 – Fax : 0573 307141</w:t>
      </w:r>
    </w:p>
    <w:p w:rsidR="00225399" w:rsidRPr="001E2670" w:rsidRDefault="00225399" w:rsidP="00FB5E11">
      <w:pPr>
        <w:spacing w:after="40"/>
        <w:jc w:val="center"/>
        <w:rPr>
          <w:rFonts w:ascii="Calibri" w:hAnsi="Calibri" w:cs="Arial"/>
          <w:i/>
          <w:sz w:val="22"/>
          <w:szCs w:val="22"/>
        </w:rPr>
      </w:pPr>
      <w:r w:rsidRPr="001E2670">
        <w:rPr>
          <w:rFonts w:ascii="Calibri" w:hAnsi="Calibri" w:cs="Arial"/>
          <w:i/>
          <w:iCs/>
          <w:spacing w:val="18"/>
          <w:sz w:val="22"/>
          <w:szCs w:val="22"/>
        </w:rPr>
        <w:t>Codice Fiscale</w:t>
      </w:r>
      <w:r w:rsidRPr="001E2670">
        <w:rPr>
          <w:rFonts w:ascii="Calibri" w:hAnsi="Calibri" w:cs="Arial"/>
          <w:i/>
          <w:spacing w:val="18"/>
          <w:sz w:val="22"/>
          <w:szCs w:val="22"/>
        </w:rPr>
        <w:t xml:space="preserve"> :</w:t>
      </w:r>
      <w:r w:rsidRPr="001E2670">
        <w:rPr>
          <w:rFonts w:ascii="Calibri" w:hAnsi="Calibri" w:cs="Arial"/>
          <w:i/>
          <w:sz w:val="22"/>
          <w:szCs w:val="22"/>
        </w:rPr>
        <w:t xml:space="preserve">  80010010470 - Codice Univoco : UFVJV9</w:t>
      </w:r>
    </w:p>
    <w:p w:rsidR="00225399" w:rsidRPr="001E2670" w:rsidRDefault="00225399" w:rsidP="00FB5E11">
      <w:pPr>
        <w:spacing w:after="40"/>
        <w:jc w:val="center"/>
        <w:rPr>
          <w:rFonts w:ascii="Calibri" w:hAnsi="Calibri" w:cs="Arial"/>
          <w:sz w:val="22"/>
          <w:szCs w:val="22"/>
        </w:rPr>
      </w:pPr>
      <w:hyperlink r:id="rId8" w:history="1">
        <w:r w:rsidRPr="001E2670">
          <w:rPr>
            <w:rStyle w:val="Hyperlink"/>
            <w:rFonts w:ascii="Calibri" w:hAnsi="Calibri" w:cs="Arial"/>
            <w:color w:val="auto"/>
            <w:sz w:val="22"/>
            <w:szCs w:val="22"/>
          </w:rPr>
          <w:t>info@liceoartisticopistoia.gov.it</w:t>
        </w:r>
      </w:hyperlink>
    </w:p>
    <w:p w:rsidR="00225399" w:rsidRPr="001E2670" w:rsidRDefault="00225399" w:rsidP="00FB5E11">
      <w:pPr>
        <w:spacing w:after="40"/>
        <w:jc w:val="center"/>
        <w:rPr>
          <w:rFonts w:ascii="Calibri" w:hAnsi="Calibri" w:cs="Arial"/>
          <w:sz w:val="22"/>
          <w:szCs w:val="22"/>
        </w:rPr>
      </w:pPr>
      <w:hyperlink r:id="rId9" w:history="1">
        <w:r w:rsidRPr="001E2670">
          <w:rPr>
            <w:rStyle w:val="Hyperlink"/>
            <w:rFonts w:ascii="Calibri" w:hAnsi="Calibri" w:cs="Arial"/>
            <w:color w:val="auto"/>
            <w:sz w:val="22"/>
            <w:szCs w:val="22"/>
          </w:rPr>
          <w:t>ptsd010005@pec.istruzione.it</w:t>
        </w:r>
      </w:hyperlink>
    </w:p>
    <w:p w:rsidR="00225399" w:rsidRPr="001E2670" w:rsidRDefault="00225399" w:rsidP="00875F60">
      <w:pPr>
        <w:rPr>
          <w:rFonts w:ascii="Calibri" w:hAnsi="Calibri"/>
          <w:sz w:val="22"/>
          <w:szCs w:val="22"/>
        </w:rPr>
      </w:pPr>
    </w:p>
    <w:p w:rsidR="00225399" w:rsidRPr="001E2670" w:rsidRDefault="00225399" w:rsidP="00875F60">
      <w:pPr>
        <w:rPr>
          <w:rFonts w:ascii="Calibri" w:hAnsi="Calibri"/>
          <w:sz w:val="22"/>
          <w:szCs w:val="22"/>
        </w:rPr>
      </w:pPr>
    </w:p>
    <w:p w:rsidR="00225399" w:rsidRPr="001E2670" w:rsidRDefault="00225399" w:rsidP="00875F60">
      <w:pPr>
        <w:rPr>
          <w:rFonts w:ascii="Calibri" w:hAnsi="Calibri"/>
          <w:sz w:val="22"/>
          <w:szCs w:val="22"/>
        </w:rPr>
      </w:pPr>
    </w:p>
    <w:p w:rsidR="00225399" w:rsidRPr="001E2670" w:rsidRDefault="00225399" w:rsidP="00875F60">
      <w:pPr>
        <w:rPr>
          <w:rFonts w:ascii="Calibri" w:hAnsi="Calibri"/>
          <w:sz w:val="22"/>
          <w:szCs w:val="22"/>
        </w:rPr>
      </w:pPr>
    </w:p>
    <w:p w:rsidR="00225399" w:rsidRPr="001E2670" w:rsidRDefault="00225399" w:rsidP="00875F60">
      <w:pPr>
        <w:rPr>
          <w:rFonts w:ascii="Calibri" w:hAnsi="Calibri"/>
          <w:sz w:val="22"/>
          <w:szCs w:val="22"/>
        </w:rPr>
      </w:pPr>
      <w:r w:rsidRPr="001E2670">
        <w:rPr>
          <w:rFonts w:ascii="Calibri" w:hAnsi="Calibri"/>
          <w:sz w:val="22"/>
          <w:szCs w:val="22"/>
        </w:rPr>
        <w:t>Pistoia, 27/06/2016</w:t>
      </w:r>
    </w:p>
    <w:p w:rsidR="00225399" w:rsidRPr="001E2670" w:rsidRDefault="00225399" w:rsidP="00875F60">
      <w:pPr>
        <w:rPr>
          <w:rFonts w:ascii="Calibri" w:hAnsi="Calibri"/>
          <w:sz w:val="22"/>
          <w:szCs w:val="22"/>
        </w:rPr>
      </w:pPr>
    </w:p>
    <w:p w:rsidR="00225399" w:rsidRPr="001E2670" w:rsidRDefault="00225399" w:rsidP="00875F60">
      <w:pPr>
        <w:jc w:val="both"/>
        <w:rPr>
          <w:rFonts w:ascii="Calibri" w:hAnsi="Calibri" w:cs="Arial"/>
          <w:i/>
          <w:sz w:val="22"/>
          <w:szCs w:val="22"/>
        </w:rPr>
      </w:pPr>
      <w:r w:rsidRPr="001E2670">
        <w:rPr>
          <w:rFonts w:ascii="Calibri" w:hAnsi="Calibri" w:cs="Arial"/>
          <w:i/>
          <w:sz w:val="22"/>
          <w:szCs w:val="22"/>
        </w:rPr>
        <w:t>In questo periodo il nostro Liceo si è dedicato ad una fase importante del processo di autovalutazione e miglioramento intrapreso, richiedendo alle parti interessate (studenti, genitori, docenti e personale ATA) un giudizio ed una valutazione su alcuni aspetti significativi che li riguardano.</w:t>
      </w:r>
    </w:p>
    <w:p w:rsidR="00225399" w:rsidRPr="001E2670" w:rsidRDefault="00225399" w:rsidP="00875F60">
      <w:pPr>
        <w:jc w:val="both"/>
        <w:rPr>
          <w:rFonts w:ascii="Calibri" w:hAnsi="Calibri" w:cs="Arial"/>
          <w:i/>
          <w:sz w:val="22"/>
          <w:szCs w:val="22"/>
        </w:rPr>
      </w:pPr>
    </w:p>
    <w:p w:rsidR="00225399" w:rsidRPr="001E2670" w:rsidRDefault="00225399" w:rsidP="00875F60">
      <w:pPr>
        <w:jc w:val="both"/>
        <w:rPr>
          <w:rFonts w:ascii="Calibri" w:hAnsi="Calibri" w:cs="Arial"/>
          <w:i/>
          <w:sz w:val="22"/>
          <w:szCs w:val="22"/>
        </w:rPr>
      </w:pPr>
      <w:r w:rsidRPr="001E2670">
        <w:rPr>
          <w:rFonts w:ascii="Calibri" w:hAnsi="Calibri" w:cs="Arial"/>
          <w:i/>
          <w:sz w:val="22"/>
          <w:szCs w:val="22"/>
        </w:rPr>
        <w:t>Il presente verbale intende rendere noti a tutte le componenti della scuola i risultati scaturiti e le relative modalità di presa in carico per avviare / proseguire iniziative di miglioramento della qualità.</w:t>
      </w:r>
    </w:p>
    <w:p w:rsidR="00225399" w:rsidRPr="001E2670" w:rsidRDefault="00225399" w:rsidP="00875F60">
      <w:pPr>
        <w:jc w:val="both"/>
        <w:rPr>
          <w:rFonts w:ascii="Calibri" w:hAnsi="Calibri" w:cs="Arial"/>
          <w:i/>
          <w:sz w:val="22"/>
          <w:szCs w:val="22"/>
        </w:rPr>
      </w:pPr>
    </w:p>
    <w:p w:rsidR="00225399" w:rsidRPr="001E2670" w:rsidRDefault="00225399" w:rsidP="00875F60">
      <w:pPr>
        <w:jc w:val="both"/>
        <w:rPr>
          <w:rFonts w:ascii="Calibri" w:hAnsi="Calibri" w:cs="Arial"/>
          <w:i/>
          <w:sz w:val="22"/>
          <w:szCs w:val="22"/>
        </w:rPr>
      </w:pPr>
      <w:r w:rsidRPr="001E2670">
        <w:rPr>
          <w:rFonts w:ascii="Calibri" w:hAnsi="Calibri" w:cs="Arial"/>
          <w:i/>
          <w:sz w:val="22"/>
          <w:szCs w:val="22"/>
        </w:rPr>
        <w:t>Ricordiamo che il monitoraggio del percorso di miglioramento avviene tramite il piano di miglioramento disponibile ed aggiornato direttamente nel sito internet.</w:t>
      </w:r>
    </w:p>
    <w:p w:rsidR="00225399" w:rsidRPr="001E2670" w:rsidRDefault="00225399" w:rsidP="00875F60">
      <w:pPr>
        <w:jc w:val="both"/>
        <w:rPr>
          <w:rFonts w:ascii="Calibri" w:hAnsi="Calibri" w:cs="Arial"/>
          <w:i/>
          <w:sz w:val="22"/>
          <w:szCs w:val="22"/>
        </w:rPr>
      </w:pPr>
    </w:p>
    <w:p w:rsidR="00225399" w:rsidRPr="001E2670" w:rsidRDefault="00225399" w:rsidP="00875F60">
      <w:pPr>
        <w:jc w:val="both"/>
        <w:rPr>
          <w:rFonts w:ascii="Calibri" w:hAnsi="Calibri" w:cs="Arial"/>
          <w:i/>
          <w:sz w:val="22"/>
          <w:szCs w:val="22"/>
        </w:rPr>
      </w:pPr>
      <w:r w:rsidRPr="001E2670">
        <w:rPr>
          <w:rFonts w:ascii="Calibri" w:hAnsi="Calibri" w:cs="Arial"/>
          <w:i/>
          <w:sz w:val="22"/>
          <w:szCs w:val="22"/>
        </w:rPr>
        <w:t xml:space="preserve">Grazie per la collaborazione.                              </w:t>
      </w: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sz w:val="22"/>
          <w:szCs w:val="22"/>
        </w:rPr>
      </w:pPr>
    </w:p>
    <w:p w:rsidR="00225399" w:rsidRPr="001E2670" w:rsidRDefault="00225399" w:rsidP="000B4519">
      <w:pPr>
        <w:jc w:val="center"/>
        <w:rPr>
          <w:rFonts w:ascii="Calibri" w:hAnsi="Calibri"/>
          <w:b/>
          <w:sz w:val="22"/>
          <w:szCs w:val="22"/>
        </w:rPr>
      </w:pPr>
      <w:r w:rsidRPr="001E2670">
        <w:rPr>
          <w:rFonts w:ascii="Calibri" w:hAnsi="Calibri"/>
          <w:b/>
          <w:sz w:val="22"/>
          <w:szCs w:val="22"/>
        </w:rPr>
        <w:t>QUESTIONARIO STUDENTI a.s. 2015/16</w:t>
      </w: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r w:rsidRPr="001E2670">
        <w:rPr>
          <w:rFonts w:ascii="Calibri" w:hAnsi="Calibri"/>
          <w:sz w:val="22"/>
          <w:szCs w:val="22"/>
        </w:rPr>
        <w:t>RISULTATI</w:t>
      </w: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r w:rsidRPr="001E2670">
        <w:rPr>
          <w:rFonts w:ascii="Calibri" w:hAnsi="Calibri"/>
          <w:sz w:val="22"/>
          <w:szCs w:val="22"/>
        </w:rPr>
        <w:t>Il questionario studenti è stato elaborato su supporto cartaceo dagli studenti all’interno delle classi.</w:t>
      </w:r>
    </w:p>
    <w:p w:rsidR="00225399" w:rsidRPr="001E2670" w:rsidRDefault="00225399" w:rsidP="0064182B">
      <w:pPr>
        <w:jc w:val="both"/>
        <w:rPr>
          <w:rFonts w:ascii="Calibri" w:hAnsi="Calibri"/>
          <w:sz w:val="22"/>
          <w:szCs w:val="22"/>
        </w:rPr>
      </w:pPr>
      <w:r w:rsidRPr="001E2670">
        <w:rPr>
          <w:rFonts w:ascii="Calibri" w:hAnsi="Calibri"/>
          <w:sz w:val="22"/>
          <w:szCs w:val="22"/>
        </w:rPr>
        <w:t>I questionari compilati sono stati 822 (circa l’80% degli studenti).</w:t>
      </w:r>
    </w:p>
    <w:p w:rsidR="00225399" w:rsidRPr="001E2670" w:rsidRDefault="00225399" w:rsidP="0064182B">
      <w:pPr>
        <w:jc w:val="both"/>
        <w:rPr>
          <w:rFonts w:ascii="Calibri" w:hAnsi="Calibri"/>
          <w:sz w:val="22"/>
          <w:szCs w:val="22"/>
        </w:rPr>
      </w:pPr>
      <w:r w:rsidRPr="001E2670">
        <w:rPr>
          <w:rFonts w:ascii="Calibri" w:hAnsi="Calibri"/>
          <w:sz w:val="22"/>
          <w:szCs w:val="22"/>
        </w:rPr>
        <w:t>Il punteggio di soddisfazione / valutazione medio è stato 6,07 su 10 scaturito dal giudizio di 771 studenti (non tutti coloro che hanno compilato il questionario hanno quantificato la soddisfazione).</w:t>
      </w:r>
    </w:p>
    <w:p w:rsidR="00225399" w:rsidRPr="001E2670" w:rsidRDefault="00225399" w:rsidP="00693E7A">
      <w:pPr>
        <w:jc w:val="both"/>
        <w:rPr>
          <w:rFonts w:ascii="Calibri" w:hAnsi="Calibri"/>
          <w:sz w:val="22"/>
          <w:szCs w:val="22"/>
        </w:rPr>
      </w:pPr>
      <w:r w:rsidRPr="001E2670">
        <w:rPr>
          <w:rFonts w:ascii="Calibri" w:hAnsi="Calibri"/>
          <w:sz w:val="22"/>
          <w:szCs w:val="22"/>
        </w:rPr>
        <w:t>A fronte di un livello di soddisfazione generale mediamente sufficiente si riscontrano aree di insoddisfazione, ad esempio il 28% degli studenti ha fornito una valutazione complessiva insufficiente e da alcune domande sono conseguiti risultati critici. Inoltre per ciascun quesito, anche con esito complessivamente positivo, si riscontra una fascia di insoddisfatti pari a circa il 20%.</w:t>
      </w:r>
    </w:p>
    <w:p w:rsidR="00225399" w:rsidRPr="001E2670" w:rsidRDefault="00225399" w:rsidP="0064182B">
      <w:pPr>
        <w:jc w:val="both"/>
        <w:rPr>
          <w:rFonts w:ascii="Calibri" w:hAnsi="Calibri"/>
          <w:sz w:val="22"/>
          <w:szCs w:val="22"/>
        </w:rPr>
      </w:pPr>
      <w:r w:rsidRPr="001E2670">
        <w:rPr>
          <w:rFonts w:ascii="Calibri" w:hAnsi="Calibri"/>
          <w:sz w:val="22"/>
          <w:szCs w:val="22"/>
        </w:rPr>
        <w:t>Sono state lette e valutate anche le osservazioni e le proposte per il miglioramento, alle quali era stato dato spazio in un paragrafo del questionario dedicato.</w:t>
      </w: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r w:rsidRPr="001E2670">
        <w:rPr>
          <w:rFonts w:ascii="Calibri" w:hAnsi="Calibri"/>
          <w:sz w:val="22"/>
          <w:szCs w:val="22"/>
        </w:rPr>
        <w:t>Di seguito il dettaglio in termini percentuali (%) delle risposte.</w:t>
      </w:r>
    </w:p>
    <w:p w:rsidR="00225399" w:rsidRPr="001E2670" w:rsidRDefault="00225399" w:rsidP="0064182B">
      <w:pPr>
        <w:jc w:val="both"/>
        <w:rPr>
          <w:rFonts w:ascii="Calibri" w:hAnsi="Calibr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080"/>
        <w:gridCol w:w="1080"/>
        <w:gridCol w:w="1260"/>
      </w:tblGrid>
      <w:tr w:rsidR="00225399" w:rsidRPr="001E2670" w:rsidTr="00EC6E06">
        <w:tc>
          <w:tcPr>
            <w:tcW w:w="6948" w:type="dxa"/>
          </w:tcPr>
          <w:p w:rsidR="00225399" w:rsidRPr="001E2670" w:rsidRDefault="00225399" w:rsidP="00FC3672">
            <w:pPr>
              <w:jc w:val="both"/>
              <w:rPr>
                <w:rFonts w:ascii="Calibri" w:hAnsi="Calibri"/>
              </w:rPr>
            </w:pPr>
            <w:r w:rsidRPr="001E2670">
              <w:rPr>
                <w:rFonts w:ascii="Calibri" w:hAnsi="Calibri"/>
                <w:sz w:val="22"/>
                <w:szCs w:val="22"/>
              </w:rPr>
              <w:t>DOMANDA QUESTIONARIO</w:t>
            </w:r>
          </w:p>
        </w:tc>
        <w:tc>
          <w:tcPr>
            <w:tcW w:w="1080" w:type="dxa"/>
          </w:tcPr>
          <w:p w:rsidR="00225399" w:rsidRPr="00623C81" w:rsidRDefault="00225399" w:rsidP="00623C81">
            <w:pPr>
              <w:jc w:val="center"/>
              <w:rPr>
                <w:rFonts w:ascii="Calibri" w:hAnsi="Calibri"/>
                <w:b/>
              </w:rPr>
            </w:pPr>
            <w:r w:rsidRPr="00623C81">
              <w:rPr>
                <w:rFonts w:ascii="Calibri" w:hAnsi="Calibri"/>
                <w:b/>
                <w:sz w:val="22"/>
                <w:szCs w:val="22"/>
              </w:rPr>
              <w:t>Sì</w:t>
            </w:r>
          </w:p>
        </w:tc>
        <w:tc>
          <w:tcPr>
            <w:tcW w:w="1080" w:type="dxa"/>
          </w:tcPr>
          <w:p w:rsidR="00225399" w:rsidRPr="00623C81" w:rsidRDefault="00225399" w:rsidP="00623C81">
            <w:pPr>
              <w:jc w:val="center"/>
              <w:rPr>
                <w:rFonts w:ascii="Calibri" w:hAnsi="Calibri"/>
                <w:b/>
              </w:rPr>
            </w:pPr>
            <w:r w:rsidRPr="00623C81">
              <w:rPr>
                <w:rFonts w:ascii="Calibri" w:hAnsi="Calibri"/>
                <w:b/>
                <w:sz w:val="22"/>
                <w:szCs w:val="22"/>
              </w:rPr>
              <w:t>No</w:t>
            </w:r>
          </w:p>
        </w:tc>
        <w:tc>
          <w:tcPr>
            <w:tcW w:w="1260" w:type="dxa"/>
          </w:tcPr>
          <w:p w:rsidR="00225399" w:rsidRPr="00623C81" w:rsidRDefault="00225399" w:rsidP="00623C81">
            <w:pPr>
              <w:jc w:val="center"/>
              <w:rPr>
                <w:rFonts w:ascii="Calibri" w:hAnsi="Calibri"/>
                <w:b/>
              </w:rPr>
            </w:pPr>
            <w:r w:rsidRPr="00623C81">
              <w:rPr>
                <w:rFonts w:ascii="Calibri" w:hAnsi="Calibri"/>
                <w:b/>
                <w:sz w:val="22"/>
                <w:szCs w:val="22"/>
              </w:rPr>
              <w:t>In parte</w:t>
            </w:r>
          </w:p>
        </w:tc>
      </w:tr>
      <w:tr w:rsidR="00225399" w:rsidRPr="001E2670" w:rsidTr="00EC6E06">
        <w:trPr>
          <w:trHeight w:val="434"/>
        </w:trPr>
        <w:tc>
          <w:tcPr>
            <w:tcW w:w="6948" w:type="dxa"/>
          </w:tcPr>
          <w:p w:rsidR="00225399" w:rsidRPr="001E2670" w:rsidRDefault="00225399" w:rsidP="00FC3672">
            <w:pPr>
              <w:pStyle w:val="ListParagraph"/>
              <w:numPr>
                <w:ilvl w:val="0"/>
                <w:numId w:val="2"/>
              </w:numPr>
              <w:spacing w:line="240" w:lineRule="auto"/>
              <w:jc w:val="both"/>
              <w:rPr>
                <w:rFonts w:cs="Arial"/>
              </w:rPr>
            </w:pPr>
            <w:r w:rsidRPr="001E2670">
              <w:t>Aule idonee e funzionali agli scopi previsti.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4</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45</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51</w:t>
            </w:r>
          </w:p>
        </w:tc>
      </w:tr>
      <w:tr w:rsidR="00225399" w:rsidRPr="001E2670" w:rsidTr="00EC6E06">
        <w:trPr>
          <w:trHeight w:val="692"/>
        </w:trPr>
        <w:tc>
          <w:tcPr>
            <w:tcW w:w="6948" w:type="dxa"/>
          </w:tcPr>
          <w:p w:rsidR="00225399" w:rsidRPr="001E2670" w:rsidRDefault="00225399" w:rsidP="00FC3672">
            <w:pPr>
              <w:pStyle w:val="ListParagraph"/>
              <w:numPr>
                <w:ilvl w:val="0"/>
                <w:numId w:val="2"/>
              </w:numPr>
              <w:jc w:val="both"/>
              <w:rPr>
                <w:rFonts w:cs="Arial"/>
              </w:rPr>
            </w:pPr>
            <w:r w:rsidRPr="001E2670">
              <w:rPr>
                <w:rFonts w:cs="Arial"/>
              </w:rPr>
              <w:t>Laboratori idonei e funzionali agli scopi previsti.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62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Aula informatica, biblioteca, servizi igienici, spazi comuni, servizio merende, altre utilità idonei e funzionali agli scopi previsti.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20</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25</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55</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Condizioni ambientali e di sicurezza idonee (igiene, ordine, ampiezza spazi, arredi, servizi igienici, ecc.).</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20</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37</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43</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Eventuali criticità legate ad orario e logistica gestite al meglio delle possibilità della scuola.</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29</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48</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Apertura della scuola al mondo esterno e rapporti con enti, comuni, camera di commercio, associazioni, imprenditoria, ecc. di buon livello (es. concorsi, stage, progetti).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24</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41</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La valutazione ed il merito dei docenti adeguati strumenti per il miglioramento delle professionalità e dell’offerta formativa.</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29</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20</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51</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Docenti didatticamente competenti, aggiornati, professionali, motivanti e attenti alle esigenze didattiche, umane e sociali.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28</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22</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50</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Incontri e comunicazione con il Dirigente Scolastico disponibili ed efficaci.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28</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20</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La scuola favorisce la partecipazione ed il coinvolgimento dei genitori.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27</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24</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49</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Personale di segreteria, tecnico-amministrativo e ATA disponibile e preparato.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26</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22</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Sistema adottato per la disponibilità di informazioni (in formato digitale e cartaceo) e per la comunicazione efficace.</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24</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24</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Sito web di buon livello e funzionale agli scopi previsti.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32</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19</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49</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Registro elettronico funzionale agli scopi previsti.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28</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37</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Conoscenza di Regolamento d’Istituto, Piano Offerta Formativa, criteri di valutazione e degli altri capisaldi della scuola di buon livello.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17</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58</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Assemblee di classe e d’Istituto, consigli di classe utili, efficacemente organizzati e gestiti.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14</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57</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29</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Offerta formativa rispondente alle aspettative mi consente il successo formativo.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62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Formazione mirata sia alla didattica (conoscenze) sia alle competenze in termini di capacità e comportamenti idonea.</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14</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61</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Risultati conseguiti almeno sufficienti in tutte le discipline.</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51</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11</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38</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Attenzione focalizzata all’inserimento didattico e sociale degli studenti idonea.</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17</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60</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Rapporto con gli altri studenti idoneo.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59</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40</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Interesse e motivazione personali di buon livello.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47</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1</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Iniziative di orientamento organizzate dalla scuola (in ingresso per favorire la scelta di questa scuola o per facilitare la scelta del percorso successivo di indirizzo e finale) quantitativamente e qualitativamente adeguate alle necessità.</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21</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27</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52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Sportelli didattici e corsi di recupero utili, efficacemente organizzati e gestiti.</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26</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32</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42</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Visite guidate, viaggi d’istruzione, spettacoli, eventi e manifestazioni, attività extracurriculari organizzati dalla scuola adeguatamente organizzati e funzionali ai processi di insegnamento/apprendimento.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36</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41</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Didattica inclusiva (stranieri, BES, DSA, DVA) efficacemente organizzata e gestita.</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28</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24</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48</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 xml:space="preserve">Solo per le classi terze: alternanza scuola lavoro efficacemente organizzata e gestita. </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23</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46</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31</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Si ha chiara percezione che il Liceo è immesso in un percorso mirato ad innovazione e miglioramento.</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32</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43</w:t>
            </w:r>
          </w:p>
        </w:tc>
      </w:tr>
      <w:tr w:rsidR="00225399" w:rsidRPr="001E2670" w:rsidTr="00EC6E06">
        <w:tc>
          <w:tcPr>
            <w:tcW w:w="6948" w:type="dxa"/>
          </w:tcPr>
          <w:p w:rsidR="00225399" w:rsidRPr="001E2670" w:rsidRDefault="00225399" w:rsidP="00FC3672">
            <w:pPr>
              <w:pStyle w:val="ListParagraph"/>
              <w:numPr>
                <w:ilvl w:val="0"/>
                <w:numId w:val="2"/>
              </w:numPr>
              <w:jc w:val="both"/>
              <w:rPr>
                <w:rFonts w:cs="Arial"/>
              </w:rPr>
            </w:pPr>
            <w:r w:rsidRPr="001E2670">
              <w:rPr>
                <w:rFonts w:cs="Arial"/>
              </w:rPr>
              <w:t>Formazione ricevuta per la sicurezza adeguata alle necessità.</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25</w:t>
            </w:r>
          </w:p>
        </w:tc>
        <w:tc>
          <w:tcPr>
            <w:tcW w:w="1080" w:type="dxa"/>
          </w:tcPr>
          <w:p w:rsidR="00225399" w:rsidRPr="001E2670" w:rsidRDefault="00225399" w:rsidP="005F66BC">
            <w:pPr>
              <w:jc w:val="center"/>
              <w:rPr>
                <w:rFonts w:ascii="Calibri" w:hAnsi="Calibri"/>
              </w:rPr>
            </w:pPr>
            <w:r w:rsidRPr="001E2670">
              <w:rPr>
                <w:rFonts w:ascii="Calibri" w:hAnsi="Calibri"/>
                <w:sz w:val="22"/>
                <w:szCs w:val="22"/>
              </w:rPr>
              <w:t>30</w:t>
            </w:r>
          </w:p>
        </w:tc>
        <w:tc>
          <w:tcPr>
            <w:tcW w:w="1260" w:type="dxa"/>
          </w:tcPr>
          <w:p w:rsidR="00225399" w:rsidRPr="001E2670" w:rsidRDefault="00225399" w:rsidP="005F66BC">
            <w:pPr>
              <w:jc w:val="center"/>
              <w:rPr>
                <w:rFonts w:ascii="Calibri" w:hAnsi="Calibri"/>
              </w:rPr>
            </w:pPr>
            <w:r w:rsidRPr="001E2670">
              <w:rPr>
                <w:rFonts w:ascii="Calibri" w:hAnsi="Calibri"/>
                <w:sz w:val="22"/>
                <w:szCs w:val="22"/>
              </w:rPr>
              <w:t>45</w:t>
            </w:r>
          </w:p>
        </w:tc>
      </w:tr>
    </w:tbl>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PRESA IN CARICO</w:t>
      </w:r>
    </w:p>
    <w:p w:rsidR="00225399" w:rsidRPr="001E2670" w:rsidRDefault="00225399" w:rsidP="008D5667">
      <w:pPr>
        <w:jc w:val="both"/>
        <w:rPr>
          <w:rFonts w:ascii="Calibri" w:hAnsi="Calibr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La carenza principale comune alle tre sedi (seppure con diverse peculiarità) è legata alle infrastrutture (aule, laboratori, servizi igienici, ecc.) spesso considerate inadeguate sia per loro natura (es. dimensioni, layout) sia per una manutenzione migliorabile (es. pulizie e gestione sicurezza, disponibilità attrezzature e materiali).</w:t>
      </w:r>
    </w:p>
    <w:p w:rsidR="00225399" w:rsidRPr="001E2670" w:rsidRDefault="00225399" w:rsidP="008D5667">
      <w:pPr>
        <w:jc w:val="both"/>
        <w:rPr>
          <w:rFonts w:ascii="Calibri" w:hAnsi="Calibri"/>
          <w:sz w:val="22"/>
          <w:szCs w:val="22"/>
        </w:rPr>
      </w:pPr>
    </w:p>
    <w:p w:rsidR="00225399" w:rsidRPr="001E2670" w:rsidRDefault="00225399" w:rsidP="008D5667">
      <w:pPr>
        <w:jc w:val="both"/>
        <w:rPr>
          <w:rFonts w:ascii="Calibri" w:hAnsi="Calibri"/>
          <w:i/>
          <w:sz w:val="22"/>
          <w:szCs w:val="22"/>
        </w:rPr>
      </w:pPr>
      <w:r w:rsidRPr="001E2670">
        <w:rPr>
          <w:rFonts w:ascii="Calibri" w:hAnsi="Calibri"/>
          <w:i/>
          <w:sz w:val="22"/>
          <w:szCs w:val="22"/>
        </w:rPr>
        <w:t>Tale carenza è ampiamente nota e gestita (anche all’interno del Piano di Miglioramento visualizzabile sul sito), si ritiene comunque che una risoluzione definitiva ci debba essere offerta dalle Istituzioni del territorio mettendo a disposizione una nuova sede adeguata alle accresciute esigenze del Liceo.</w:t>
      </w:r>
    </w:p>
    <w:p w:rsidR="00225399" w:rsidRPr="001E2670" w:rsidRDefault="00225399" w:rsidP="008D5667">
      <w:pPr>
        <w:jc w:val="both"/>
        <w:rPr>
          <w:rFonts w:ascii="Calibri" w:hAnsi="Calibri"/>
          <w:i/>
          <w:sz w:val="22"/>
          <w:szCs w:val="22"/>
        </w:rPr>
      </w:pPr>
      <w:r w:rsidRPr="001E2670">
        <w:rPr>
          <w:rFonts w:ascii="Calibri" w:hAnsi="Calibri"/>
          <w:i/>
          <w:sz w:val="22"/>
          <w:szCs w:val="22"/>
        </w:rPr>
        <w:t>Per quanto riguarda la gestione della sicurezza dovrà essere individuata una funzione interna qualificata per facilitare l’attuazione delle misure e delle azioni dettate dal responsabile esterno (es. simulazione emergenze, gestione laboratori).</w:t>
      </w:r>
    </w:p>
    <w:p w:rsidR="00225399" w:rsidRPr="001E2670" w:rsidRDefault="00225399" w:rsidP="008D5667">
      <w:pPr>
        <w:jc w:val="both"/>
        <w:rPr>
          <w:rFonts w:ascii="Calibri" w:hAnsi="Calibri"/>
          <w:sz w:val="22"/>
          <w:szCs w:val="22"/>
        </w:rPr>
      </w:pPr>
    </w:p>
    <w:p w:rsidR="00225399" w:rsidRPr="001E2670" w:rsidRDefault="00225399" w:rsidP="008D5667">
      <w:pPr>
        <w:jc w:val="both"/>
        <w:rPr>
          <w:rFonts w:ascii="Calibri" w:hAnsi="Calibri"/>
          <w:i/>
          <w:sz w:val="22"/>
          <w:szCs w:val="22"/>
        </w:rPr>
      </w:pPr>
      <w:r w:rsidRPr="001E2670">
        <w:rPr>
          <w:rFonts w:ascii="Calibri" w:hAnsi="Calibri"/>
          <w:i/>
          <w:sz w:val="22"/>
          <w:szCs w:val="22"/>
        </w:rPr>
        <w:t>Per le pulizie dei locali e dei servizi igienici ed il loro rifornimento (carta,sapone) sopratutto per la sede di P.zza San Pietro, si provvederà a convocare nuovamente il DSGA e gli ATA al fine di ovviare alle criticità.</w:t>
      </w:r>
    </w:p>
    <w:p w:rsidR="00225399" w:rsidRPr="001E2670" w:rsidRDefault="00225399" w:rsidP="008D5667">
      <w:pPr>
        <w:jc w:val="both"/>
        <w:rPr>
          <w:rFonts w:ascii="Calibri" w:hAnsi="Calibri"/>
          <w:sz w:val="22"/>
          <w:szCs w:val="22"/>
        </w:rPr>
      </w:pPr>
    </w:p>
    <w:p w:rsidR="00225399" w:rsidRPr="001E2670" w:rsidRDefault="00225399" w:rsidP="008D5667">
      <w:pPr>
        <w:jc w:val="both"/>
        <w:rPr>
          <w:rFonts w:ascii="Calibri" w:hAnsi="Calibri"/>
          <w:i/>
          <w:sz w:val="22"/>
          <w:szCs w:val="22"/>
        </w:rPr>
      </w:pPr>
    </w:p>
    <w:p w:rsidR="00225399" w:rsidRPr="001E2670" w:rsidRDefault="00225399" w:rsidP="00D61FD0">
      <w:pPr>
        <w:jc w:val="both"/>
        <w:rPr>
          <w:rFonts w:ascii="Calibri" w:hAnsi="Calibri"/>
          <w:sz w:val="22"/>
          <w:szCs w:val="22"/>
        </w:rPr>
      </w:pPr>
      <w:r w:rsidRPr="001E2670">
        <w:rPr>
          <w:rFonts w:ascii="Calibri" w:hAnsi="Calibri"/>
          <w:sz w:val="22"/>
          <w:szCs w:val="22"/>
        </w:rPr>
        <w:t>Un altro aspetto migliorabile comune alle tre sedi è legato alle risorse umane del Liceo.</w:t>
      </w:r>
    </w:p>
    <w:p w:rsidR="00225399" w:rsidRPr="001E2670" w:rsidRDefault="00225399" w:rsidP="00D61FD0">
      <w:pPr>
        <w:jc w:val="both"/>
        <w:rPr>
          <w:rFonts w:ascii="Calibri" w:hAnsi="Calibri"/>
          <w:sz w:val="22"/>
          <w:szCs w:val="22"/>
        </w:rPr>
      </w:pPr>
      <w:r w:rsidRPr="001E2670">
        <w:rPr>
          <w:rFonts w:ascii="Calibri" w:hAnsi="Calibri"/>
          <w:sz w:val="22"/>
          <w:szCs w:val="22"/>
        </w:rPr>
        <w:t>Ai docenti viene richiesto di dimostrare un aggiornamento continuo delle proprie competenze, un impegno particolare nel motivare gli studenti ed essere più attenti e sensibili nei confronti delle loro esigenze didattiche, umane e sociali.</w:t>
      </w:r>
    </w:p>
    <w:p w:rsidR="00225399" w:rsidRPr="001E2670" w:rsidRDefault="00225399" w:rsidP="00D61FD0">
      <w:pPr>
        <w:jc w:val="both"/>
        <w:rPr>
          <w:rFonts w:ascii="Calibri" w:hAnsi="Calibri"/>
          <w:sz w:val="22"/>
          <w:szCs w:val="22"/>
        </w:rPr>
      </w:pPr>
      <w:r w:rsidRPr="001E2670">
        <w:rPr>
          <w:rFonts w:ascii="Calibri" w:hAnsi="Calibri"/>
          <w:sz w:val="22"/>
          <w:szCs w:val="22"/>
        </w:rPr>
        <w:t xml:space="preserve">Al personale di segreteria, tecnico-amministrativo e ATA si chiede maggiore disponibilità e cortesia di fronte alle necessità degli studenti.  </w:t>
      </w:r>
    </w:p>
    <w:p w:rsidR="00225399" w:rsidRPr="001E2670" w:rsidRDefault="00225399" w:rsidP="00D61FD0">
      <w:pPr>
        <w:jc w:val="both"/>
        <w:rPr>
          <w:rFonts w:ascii="Calibri" w:hAnsi="Calibri"/>
          <w:i/>
          <w:sz w:val="22"/>
          <w:szCs w:val="22"/>
        </w:rPr>
      </w:pPr>
      <w:r w:rsidRPr="001E2670">
        <w:rPr>
          <w:rFonts w:ascii="Calibri" w:hAnsi="Calibri"/>
          <w:i/>
          <w:sz w:val="22"/>
          <w:szCs w:val="22"/>
        </w:rPr>
        <w:t>I miglioramenti desiderati dalle risorse umane potranno essere conseguiti sia proseguendo e rafforzando il processo di pianificazione ed effettuazione della formazione (vedere anche all’interno del Piano di Miglioramento visualizzabile sul sito) sia cercando di accrescere in tutto il personale la consapevolezza dell’importanza del proprio ruolo all’interno dell’organizzazione scolastica.</w:t>
      </w:r>
    </w:p>
    <w:p w:rsidR="00225399" w:rsidRPr="001E2670" w:rsidRDefault="00225399" w:rsidP="008D5667">
      <w:pPr>
        <w:jc w:val="both"/>
        <w:rPr>
          <w:rFonts w:ascii="Calibri" w:hAnsi="Calibri"/>
          <w:i/>
          <w:sz w:val="22"/>
          <w:szCs w:val="22"/>
        </w:rPr>
      </w:pPr>
    </w:p>
    <w:p w:rsidR="00225399" w:rsidRPr="001E2670" w:rsidRDefault="00225399" w:rsidP="008D5667">
      <w:pPr>
        <w:jc w:val="both"/>
        <w:rPr>
          <w:rFonts w:ascii="Calibri" w:hAnsi="Calibri"/>
          <w: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Al Dirigente Scolastico viene espressa una maggiore disponibilità all’incontro con gli studenti.</w:t>
      </w:r>
    </w:p>
    <w:p w:rsidR="00225399" w:rsidRPr="001E2670" w:rsidRDefault="00225399" w:rsidP="008D5667">
      <w:pPr>
        <w:jc w:val="both"/>
        <w:rPr>
          <w:rFonts w:ascii="Calibri" w:hAnsi="Calibri" w:cs="Arial"/>
          <w:i/>
          <w:sz w:val="22"/>
          <w:szCs w:val="22"/>
        </w:rPr>
      </w:pPr>
      <w:r w:rsidRPr="001E2670">
        <w:rPr>
          <w:rFonts w:ascii="Calibri" w:hAnsi="Calibri" w:cs="Arial"/>
          <w:i/>
          <w:sz w:val="22"/>
          <w:szCs w:val="22"/>
        </w:rPr>
        <w:t>A questo proposito sarà data anche agli studenti di Quarrata e di viale Adua la possibilità di poter parlare nelle loro sedi con la Preside una volta alla settimana su appuntamento.</w:t>
      </w:r>
    </w:p>
    <w:p w:rsidR="00225399" w:rsidRPr="001E2670" w:rsidRDefault="00225399" w:rsidP="008D5667">
      <w:pPr>
        <w:jc w:val="both"/>
        <w:rPr>
          <w:rFonts w:ascii="Calibri" w:hAnsi="Calibri"/>
          <w:i/>
          <w:sz w:val="22"/>
          <w:szCs w:val="22"/>
        </w:rPr>
      </w:pPr>
    </w:p>
    <w:p w:rsidR="00225399" w:rsidRPr="001E2670" w:rsidRDefault="00225399" w:rsidP="008D5667">
      <w:pPr>
        <w:jc w:val="both"/>
        <w:rPr>
          <w:rFonts w:ascii="Calibri" w:hAnsi="Calibri"/>
          <w: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Un aspetto critico emerso in modo evidente dal questionario è quello legato alla gestione di momenti istituzionali quali assemblee di classe e d’istituto e consigli di classe. Così come sono attualmente organizzati tali strumenti appaiono inutili ed addirittura deprimenti per la stragrande maggioranza degli studenti.</w:t>
      </w:r>
    </w:p>
    <w:p w:rsidR="00225399" w:rsidRPr="001E2670" w:rsidRDefault="00225399" w:rsidP="00682E55">
      <w:pPr>
        <w:jc w:val="both"/>
        <w:rPr>
          <w:rFonts w:ascii="Calibri" w:hAnsi="Calibri"/>
          <w:i/>
          <w:sz w:val="22"/>
          <w:szCs w:val="22"/>
        </w:rPr>
      </w:pPr>
      <w:r w:rsidRPr="001E2670">
        <w:rPr>
          <w:rFonts w:ascii="Calibri" w:hAnsi="Calibri"/>
          <w:i/>
          <w:sz w:val="22"/>
          <w:szCs w:val="22"/>
        </w:rPr>
        <w:t xml:space="preserve">I miglioramenti richiesti dovranno scaturire principalmente dagli studenti, la scuola si sente comunque responsabile di sostenere una svolta positiva ed in tal senso nel prossimo Consiglio di istituto porrà all’ordine del giorno il problema dell’impostazione delle riunioni studentesche al fine di conseguire un utilizzo migliore dei tempi assembleari, a partire dal focalizzare le potenzialità importanti di tali momenti e magari attraverso l’individuazione di tematiche e progetti di interesse condiviso dagli studenti da sviluppare adeguatamente durante l’anno in tappe precise. </w:t>
      </w:r>
    </w:p>
    <w:p w:rsidR="00225399" w:rsidRPr="001E2670" w:rsidRDefault="00225399" w:rsidP="008D5667">
      <w:pPr>
        <w:jc w:val="both"/>
        <w:rPr>
          <w:rFonts w:ascii="Calibri" w:hAnsi="Calibr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Gli sportelli didattici ed i corsi di recupero sono un altro aspetto da potenziare e perfezionare.</w:t>
      </w:r>
    </w:p>
    <w:p w:rsidR="00225399" w:rsidRPr="001E2670" w:rsidRDefault="00225399" w:rsidP="008D5667">
      <w:pPr>
        <w:jc w:val="both"/>
        <w:rPr>
          <w:rFonts w:ascii="Calibri" w:hAnsi="Calibri"/>
          <w:i/>
          <w:sz w:val="22"/>
          <w:szCs w:val="22"/>
        </w:rPr>
      </w:pPr>
      <w:r w:rsidRPr="001E2670">
        <w:rPr>
          <w:rFonts w:ascii="Calibri" w:hAnsi="Calibri"/>
          <w:i/>
          <w:sz w:val="22"/>
          <w:szCs w:val="22"/>
        </w:rPr>
        <w:t>La scarsa partecipazione è in parte sicuramente dovuta a problematiche di orario e logistiche, ciononostante su tali attività saranno destinati più fondi al fine di venire incontro ai bisogni di recupero degli studenti e facilitare il successo formativo.</w:t>
      </w:r>
    </w:p>
    <w:p w:rsidR="00225399" w:rsidRPr="001E2670" w:rsidRDefault="00225399" w:rsidP="008D5667">
      <w:pPr>
        <w:jc w:val="both"/>
        <w:rPr>
          <w:rFonts w:ascii="Calibri" w:hAnsi="Calibri"/>
          <w:i/>
          <w:sz w:val="22"/>
          <w:szCs w:val="22"/>
        </w:rPr>
      </w:pPr>
    </w:p>
    <w:p w:rsidR="00225399" w:rsidRPr="001E2670" w:rsidRDefault="00225399" w:rsidP="008D5667">
      <w:pPr>
        <w:jc w:val="both"/>
        <w:rPr>
          <w:rFonts w:ascii="Calibri" w:hAnsi="Calibri"/>
          <w:sz w:val="22"/>
          <w:szCs w:val="22"/>
        </w:rPr>
      </w:pPr>
      <w:r w:rsidRPr="001E2670">
        <w:rPr>
          <w:rFonts w:ascii="Calibri" w:hAnsi="Calibri"/>
          <w:sz w:val="22"/>
          <w:szCs w:val="22"/>
        </w:rPr>
        <w:t>La formazione impartita agli studenti per la sicurezza nell’ambito dell’alternanza scuola lavoro ed in generale non è risultata soddisfacente, anche perché spesso completamente disattesa.</w:t>
      </w:r>
    </w:p>
    <w:p w:rsidR="00225399" w:rsidRPr="001E2670" w:rsidRDefault="00225399" w:rsidP="008D5667">
      <w:pPr>
        <w:jc w:val="both"/>
        <w:rPr>
          <w:rFonts w:ascii="Calibri" w:hAnsi="Calibri"/>
          <w:i/>
          <w:sz w:val="22"/>
          <w:szCs w:val="22"/>
        </w:rPr>
      </w:pPr>
      <w:r w:rsidRPr="001E2670">
        <w:rPr>
          <w:rFonts w:ascii="Calibri" w:hAnsi="Calibri"/>
          <w:i/>
          <w:sz w:val="22"/>
          <w:szCs w:val="22"/>
        </w:rPr>
        <w:t>In tal senso si assicura per il prossimo a.s. di porre le condizioni per assicurare agli studenti una formazione completa ed efficace in materia.</w:t>
      </w:r>
    </w:p>
    <w:p w:rsidR="00225399" w:rsidRPr="001E2670" w:rsidRDefault="00225399" w:rsidP="0064182B">
      <w:pPr>
        <w:jc w:val="both"/>
        <w:rPr>
          <w:rFonts w:ascii="Calibri" w:hAnsi="Calibri"/>
          <w:sz w:val="22"/>
          <w:szCs w:val="22"/>
        </w:rPr>
      </w:pPr>
    </w:p>
    <w:p w:rsidR="00225399" w:rsidRPr="001E2670" w:rsidRDefault="00225399" w:rsidP="0064182B">
      <w:pPr>
        <w:jc w:val="both"/>
        <w:rPr>
          <w:rFonts w:ascii="Calibri" w:hAnsi="Calibri"/>
          <w:sz w:val="22"/>
          <w:szCs w:val="22"/>
        </w:rPr>
      </w:pPr>
      <w:r w:rsidRPr="001E2670">
        <w:rPr>
          <w:rFonts w:ascii="Calibri" w:hAnsi="Calibri"/>
          <w:sz w:val="22"/>
          <w:szCs w:val="22"/>
        </w:rPr>
        <w:t>Le iniziative di orientamento organizzate dalla scuola (in ingresso per favorire la scelta di questa scuola o per facilitare la scelta del percorso successivo di indirizzo e finale) non sempre hanno risposto alle aspettative degli studenti, soprattutto per quanto riguarda l’orientamento interno (da biennio a triennio).</w:t>
      </w:r>
    </w:p>
    <w:p w:rsidR="00225399" w:rsidRPr="001E2670" w:rsidRDefault="00225399" w:rsidP="000B4D47">
      <w:pPr>
        <w:jc w:val="both"/>
        <w:rPr>
          <w:rFonts w:ascii="Calibri" w:hAnsi="Calibri"/>
          <w:i/>
          <w:sz w:val="22"/>
          <w:szCs w:val="22"/>
        </w:rPr>
      </w:pPr>
      <w:r w:rsidRPr="001E2670">
        <w:rPr>
          <w:rFonts w:ascii="Calibri" w:hAnsi="Calibri" w:cs="Arial"/>
          <w:i/>
          <w:sz w:val="22"/>
          <w:szCs w:val="22"/>
        </w:rPr>
        <w:t>Preme ricordare che per l’orientamento in entrata, secondo una deliberazione del Collegio dei Docenti, viene attivato il minimo indispensabile data la carenza di spazi.</w:t>
      </w:r>
    </w:p>
    <w:p w:rsidR="00225399" w:rsidRPr="001E2670" w:rsidRDefault="00225399" w:rsidP="0064182B">
      <w:pPr>
        <w:jc w:val="both"/>
        <w:rPr>
          <w:rFonts w:ascii="Calibri" w:hAnsi="Calibri"/>
          <w:i/>
          <w:sz w:val="22"/>
          <w:szCs w:val="22"/>
        </w:rPr>
      </w:pPr>
    </w:p>
    <w:p w:rsidR="00225399" w:rsidRPr="001E2670" w:rsidRDefault="00225399" w:rsidP="0064182B">
      <w:pPr>
        <w:jc w:val="both"/>
        <w:rPr>
          <w:rFonts w:ascii="Calibri" w:hAnsi="Calibri"/>
          <w:i/>
          <w:sz w:val="22"/>
          <w:szCs w:val="22"/>
        </w:rPr>
      </w:pPr>
      <w:r w:rsidRPr="001E2670">
        <w:rPr>
          <w:rFonts w:ascii="Calibri" w:hAnsi="Calibri"/>
          <w:i/>
          <w:sz w:val="22"/>
          <w:szCs w:val="22"/>
        </w:rPr>
        <w:t>Per quello intermedio, dal prossimo a.s. saranno riesaminate le modalità di orientamento dal gruppo di lavoro dedicato, a partire dal lavoro dei laboratori artistici biennali, per consentire la maturazione di una scelta più consapevole, personalizzata ed appropriata.</w:t>
      </w:r>
    </w:p>
    <w:p w:rsidR="00225399" w:rsidRPr="001E2670" w:rsidRDefault="00225399">
      <w:pPr>
        <w:rPr>
          <w:rFonts w:ascii="Calibri" w:hAnsi="Calibri" w:cs="Arial"/>
          <w:i/>
          <w:sz w:val="22"/>
          <w:szCs w:val="22"/>
        </w:rPr>
      </w:pPr>
    </w:p>
    <w:sectPr w:rsidR="00225399" w:rsidRPr="001E2670" w:rsidSect="000B4519">
      <w:footerReference w:type="even" r:id="rId10"/>
      <w:footerReference w:type="default" r:id="rId11"/>
      <w:pgSz w:w="11906" w:h="16838"/>
      <w:pgMar w:top="907" w:right="907"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99" w:rsidRDefault="00225399">
      <w:r>
        <w:separator/>
      </w:r>
    </w:p>
  </w:endnote>
  <w:endnote w:type="continuationSeparator" w:id="0">
    <w:p w:rsidR="00225399" w:rsidRDefault="00225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99" w:rsidRDefault="00225399" w:rsidP="00101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5399" w:rsidRDefault="002253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99" w:rsidRDefault="00225399" w:rsidP="00101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25399" w:rsidRDefault="00225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99" w:rsidRDefault="00225399">
      <w:r>
        <w:separator/>
      </w:r>
    </w:p>
  </w:footnote>
  <w:footnote w:type="continuationSeparator" w:id="0">
    <w:p w:rsidR="00225399" w:rsidRDefault="00225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C148C"/>
    <w:multiLevelType w:val="hybridMultilevel"/>
    <w:tmpl w:val="A4B64A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B9204C8"/>
    <w:multiLevelType w:val="multilevel"/>
    <w:tmpl w:val="2652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A3C9E"/>
    <w:multiLevelType w:val="hybridMultilevel"/>
    <w:tmpl w:val="9468F0A0"/>
    <w:lvl w:ilvl="0" w:tplc="7C5E959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82B"/>
    <w:rsid w:val="00002947"/>
    <w:rsid w:val="00010392"/>
    <w:rsid w:val="000278A2"/>
    <w:rsid w:val="0003523F"/>
    <w:rsid w:val="000465B5"/>
    <w:rsid w:val="00077493"/>
    <w:rsid w:val="00091785"/>
    <w:rsid w:val="000960CD"/>
    <w:rsid w:val="00096D0F"/>
    <w:rsid w:val="000A0687"/>
    <w:rsid w:val="000B4519"/>
    <w:rsid w:val="000B4D47"/>
    <w:rsid w:val="000B6435"/>
    <w:rsid w:val="000D207B"/>
    <w:rsid w:val="000D5B4A"/>
    <w:rsid w:val="000D7159"/>
    <w:rsid w:val="000E3EE0"/>
    <w:rsid w:val="000E7CCA"/>
    <w:rsid w:val="00101FCF"/>
    <w:rsid w:val="001025F9"/>
    <w:rsid w:val="001209B9"/>
    <w:rsid w:val="00127F2F"/>
    <w:rsid w:val="00152E1E"/>
    <w:rsid w:val="0015598E"/>
    <w:rsid w:val="0015782F"/>
    <w:rsid w:val="001B0B86"/>
    <w:rsid w:val="001B4CD6"/>
    <w:rsid w:val="001D06A8"/>
    <w:rsid w:val="001E2670"/>
    <w:rsid w:val="001E4E3C"/>
    <w:rsid w:val="001F0BB2"/>
    <w:rsid w:val="001F6E68"/>
    <w:rsid w:val="001F78EE"/>
    <w:rsid w:val="0020077B"/>
    <w:rsid w:val="0020135F"/>
    <w:rsid w:val="00225399"/>
    <w:rsid w:val="00234A40"/>
    <w:rsid w:val="00235508"/>
    <w:rsid w:val="002445CB"/>
    <w:rsid w:val="0026172A"/>
    <w:rsid w:val="00271A8F"/>
    <w:rsid w:val="00280919"/>
    <w:rsid w:val="00283ECE"/>
    <w:rsid w:val="00294D7A"/>
    <w:rsid w:val="002A6C4A"/>
    <w:rsid w:val="002C1468"/>
    <w:rsid w:val="002C6563"/>
    <w:rsid w:val="002E64A7"/>
    <w:rsid w:val="002E697B"/>
    <w:rsid w:val="002F31FF"/>
    <w:rsid w:val="002F5438"/>
    <w:rsid w:val="00310DA0"/>
    <w:rsid w:val="00313090"/>
    <w:rsid w:val="00316918"/>
    <w:rsid w:val="00321863"/>
    <w:rsid w:val="00334E81"/>
    <w:rsid w:val="00347522"/>
    <w:rsid w:val="003752BF"/>
    <w:rsid w:val="00381A79"/>
    <w:rsid w:val="0038448A"/>
    <w:rsid w:val="00385A83"/>
    <w:rsid w:val="00386781"/>
    <w:rsid w:val="00386F6E"/>
    <w:rsid w:val="00391702"/>
    <w:rsid w:val="003923DB"/>
    <w:rsid w:val="00393706"/>
    <w:rsid w:val="003B0702"/>
    <w:rsid w:val="003B56FB"/>
    <w:rsid w:val="003C1DD4"/>
    <w:rsid w:val="003C25FC"/>
    <w:rsid w:val="003D2523"/>
    <w:rsid w:val="003E190E"/>
    <w:rsid w:val="003E61CF"/>
    <w:rsid w:val="003F0241"/>
    <w:rsid w:val="003F69A4"/>
    <w:rsid w:val="00402D22"/>
    <w:rsid w:val="00406960"/>
    <w:rsid w:val="00415E4E"/>
    <w:rsid w:val="004175E0"/>
    <w:rsid w:val="00423597"/>
    <w:rsid w:val="00424AE3"/>
    <w:rsid w:val="0043386E"/>
    <w:rsid w:val="0043722E"/>
    <w:rsid w:val="00445D3F"/>
    <w:rsid w:val="00451B85"/>
    <w:rsid w:val="00457F5B"/>
    <w:rsid w:val="0046143D"/>
    <w:rsid w:val="00476105"/>
    <w:rsid w:val="0048140E"/>
    <w:rsid w:val="004B5F48"/>
    <w:rsid w:val="004D2BD3"/>
    <w:rsid w:val="00501D79"/>
    <w:rsid w:val="00505913"/>
    <w:rsid w:val="005161DC"/>
    <w:rsid w:val="00524615"/>
    <w:rsid w:val="00530317"/>
    <w:rsid w:val="00531222"/>
    <w:rsid w:val="00532650"/>
    <w:rsid w:val="00532D2E"/>
    <w:rsid w:val="0054239A"/>
    <w:rsid w:val="0054528E"/>
    <w:rsid w:val="00546482"/>
    <w:rsid w:val="00547007"/>
    <w:rsid w:val="00553CFD"/>
    <w:rsid w:val="005543FA"/>
    <w:rsid w:val="00555ABD"/>
    <w:rsid w:val="00560456"/>
    <w:rsid w:val="00561222"/>
    <w:rsid w:val="005805E9"/>
    <w:rsid w:val="00583F82"/>
    <w:rsid w:val="00586497"/>
    <w:rsid w:val="005A160C"/>
    <w:rsid w:val="005A68BB"/>
    <w:rsid w:val="005E0415"/>
    <w:rsid w:val="005E51E6"/>
    <w:rsid w:val="005F66BC"/>
    <w:rsid w:val="005F67AF"/>
    <w:rsid w:val="00600008"/>
    <w:rsid w:val="00606E67"/>
    <w:rsid w:val="00611E5A"/>
    <w:rsid w:val="00616283"/>
    <w:rsid w:val="0062280F"/>
    <w:rsid w:val="00623C81"/>
    <w:rsid w:val="006248AC"/>
    <w:rsid w:val="00627D73"/>
    <w:rsid w:val="00630745"/>
    <w:rsid w:val="00635774"/>
    <w:rsid w:val="0064182B"/>
    <w:rsid w:val="0064795C"/>
    <w:rsid w:val="00664A3E"/>
    <w:rsid w:val="00670A3C"/>
    <w:rsid w:val="00670D91"/>
    <w:rsid w:val="006723EF"/>
    <w:rsid w:val="00682E55"/>
    <w:rsid w:val="006869F2"/>
    <w:rsid w:val="006871B6"/>
    <w:rsid w:val="00693E4D"/>
    <w:rsid w:val="00693E7A"/>
    <w:rsid w:val="006C4796"/>
    <w:rsid w:val="006C64FB"/>
    <w:rsid w:val="006D51FE"/>
    <w:rsid w:val="006E0A98"/>
    <w:rsid w:val="006F7F32"/>
    <w:rsid w:val="00706D3F"/>
    <w:rsid w:val="00710832"/>
    <w:rsid w:val="00712AF1"/>
    <w:rsid w:val="00763223"/>
    <w:rsid w:val="00767CBE"/>
    <w:rsid w:val="007721CB"/>
    <w:rsid w:val="00775212"/>
    <w:rsid w:val="00782785"/>
    <w:rsid w:val="00794311"/>
    <w:rsid w:val="007A0FBD"/>
    <w:rsid w:val="007A58C7"/>
    <w:rsid w:val="007B31FF"/>
    <w:rsid w:val="007C25A5"/>
    <w:rsid w:val="007C3433"/>
    <w:rsid w:val="007C6CC7"/>
    <w:rsid w:val="007F0881"/>
    <w:rsid w:val="00800F32"/>
    <w:rsid w:val="00803871"/>
    <w:rsid w:val="00806946"/>
    <w:rsid w:val="008078D1"/>
    <w:rsid w:val="008263A7"/>
    <w:rsid w:val="008279EF"/>
    <w:rsid w:val="00852843"/>
    <w:rsid w:val="00853A46"/>
    <w:rsid w:val="00875F60"/>
    <w:rsid w:val="00891CBC"/>
    <w:rsid w:val="00894A56"/>
    <w:rsid w:val="008C49CA"/>
    <w:rsid w:val="008D5667"/>
    <w:rsid w:val="008F2C8B"/>
    <w:rsid w:val="008F4718"/>
    <w:rsid w:val="008F75D7"/>
    <w:rsid w:val="009000FF"/>
    <w:rsid w:val="00905CC9"/>
    <w:rsid w:val="0090651E"/>
    <w:rsid w:val="0091224B"/>
    <w:rsid w:val="00921642"/>
    <w:rsid w:val="00934EE8"/>
    <w:rsid w:val="009464EC"/>
    <w:rsid w:val="0095373C"/>
    <w:rsid w:val="00955F7E"/>
    <w:rsid w:val="009602DC"/>
    <w:rsid w:val="009811C2"/>
    <w:rsid w:val="009866A0"/>
    <w:rsid w:val="00990395"/>
    <w:rsid w:val="009A1C14"/>
    <w:rsid w:val="009B1176"/>
    <w:rsid w:val="009B293F"/>
    <w:rsid w:val="009C2E79"/>
    <w:rsid w:val="009D2EC6"/>
    <w:rsid w:val="009E5160"/>
    <w:rsid w:val="009F312A"/>
    <w:rsid w:val="00A02E5C"/>
    <w:rsid w:val="00A031D5"/>
    <w:rsid w:val="00A03A20"/>
    <w:rsid w:val="00A16F16"/>
    <w:rsid w:val="00A20F56"/>
    <w:rsid w:val="00A22B7D"/>
    <w:rsid w:val="00A25208"/>
    <w:rsid w:val="00A26E77"/>
    <w:rsid w:val="00A329BF"/>
    <w:rsid w:val="00A47D62"/>
    <w:rsid w:val="00A53DC2"/>
    <w:rsid w:val="00A62242"/>
    <w:rsid w:val="00A731B8"/>
    <w:rsid w:val="00A8008E"/>
    <w:rsid w:val="00AA1E3E"/>
    <w:rsid w:val="00AA3AF9"/>
    <w:rsid w:val="00AA7E13"/>
    <w:rsid w:val="00AB117D"/>
    <w:rsid w:val="00AB3F71"/>
    <w:rsid w:val="00AB4F77"/>
    <w:rsid w:val="00AC300E"/>
    <w:rsid w:val="00AF6763"/>
    <w:rsid w:val="00B014BF"/>
    <w:rsid w:val="00B04D9D"/>
    <w:rsid w:val="00B06DDF"/>
    <w:rsid w:val="00B11F9A"/>
    <w:rsid w:val="00B238B7"/>
    <w:rsid w:val="00B25A9E"/>
    <w:rsid w:val="00B41549"/>
    <w:rsid w:val="00B46BCD"/>
    <w:rsid w:val="00B544CF"/>
    <w:rsid w:val="00B54D41"/>
    <w:rsid w:val="00B555E3"/>
    <w:rsid w:val="00B55640"/>
    <w:rsid w:val="00B70B91"/>
    <w:rsid w:val="00B7279D"/>
    <w:rsid w:val="00B72A44"/>
    <w:rsid w:val="00B84190"/>
    <w:rsid w:val="00B84C3A"/>
    <w:rsid w:val="00B8743E"/>
    <w:rsid w:val="00B9011E"/>
    <w:rsid w:val="00B9028E"/>
    <w:rsid w:val="00B90F4E"/>
    <w:rsid w:val="00B92FEC"/>
    <w:rsid w:val="00BA7265"/>
    <w:rsid w:val="00BD6573"/>
    <w:rsid w:val="00BF360A"/>
    <w:rsid w:val="00BF7AB0"/>
    <w:rsid w:val="00C02F06"/>
    <w:rsid w:val="00C04C97"/>
    <w:rsid w:val="00C12554"/>
    <w:rsid w:val="00C16A45"/>
    <w:rsid w:val="00C359EE"/>
    <w:rsid w:val="00C473A8"/>
    <w:rsid w:val="00C5256A"/>
    <w:rsid w:val="00C60BBE"/>
    <w:rsid w:val="00C62717"/>
    <w:rsid w:val="00C651E6"/>
    <w:rsid w:val="00C80F66"/>
    <w:rsid w:val="00C93240"/>
    <w:rsid w:val="00C978F5"/>
    <w:rsid w:val="00CA6EBE"/>
    <w:rsid w:val="00CB7877"/>
    <w:rsid w:val="00CE1712"/>
    <w:rsid w:val="00CE4C55"/>
    <w:rsid w:val="00CF729C"/>
    <w:rsid w:val="00D06E11"/>
    <w:rsid w:val="00D23A58"/>
    <w:rsid w:val="00D61FD0"/>
    <w:rsid w:val="00D64E4F"/>
    <w:rsid w:val="00D86F9B"/>
    <w:rsid w:val="00D965D8"/>
    <w:rsid w:val="00DA048F"/>
    <w:rsid w:val="00DB3CE6"/>
    <w:rsid w:val="00DB6AE2"/>
    <w:rsid w:val="00DC434A"/>
    <w:rsid w:val="00DD74E2"/>
    <w:rsid w:val="00DE333A"/>
    <w:rsid w:val="00DE547A"/>
    <w:rsid w:val="00DF1474"/>
    <w:rsid w:val="00E14166"/>
    <w:rsid w:val="00E30A7B"/>
    <w:rsid w:val="00E36EB7"/>
    <w:rsid w:val="00E527A0"/>
    <w:rsid w:val="00E70DE3"/>
    <w:rsid w:val="00E722F8"/>
    <w:rsid w:val="00E8080D"/>
    <w:rsid w:val="00E8762C"/>
    <w:rsid w:val="00E9373D"/>
    <w:rsid w:val="00EA43F3"/>
    <w:rsid w:val="00EA783A"/>
    <w:rsid w:val="00EB4213"/>
    <w:rsid w:val="00EC6E06"/>
    <w:rsid w:val="00ED0EB8"/>
    <w:rsid w:val="00ED1FC6"/>
    <w:rsid w:val="00EE01E9"/>
    <w:rsid w:val="00F0420E"/>
    <w:rsid w:val="00F06B6A"/>
    <w:rsid w:val="00F27685"/>
    <w:rsid w:val="00F34A19"/>
    <w:rsid w:val="00F66B60"/>
    <w:rsid w:val="00F80799"/>
    <w:rsid w:val="00F81E32"/>
    <w:rsid w:val="00FA1405"/>
    <w:rsid w:val="00FA7F06"/>
    <w:rsid w:val="00FB296E"/>
    <w:rsid w:val="00FB2D16"/>
    <w:rsid w:val="00FB5E11"/>
    <w:rsid w:val="00FC3672"/>
    <w:rsid w:val="00FC4408"/>
    <w:rsid w:val="00FC7A4F"/>
    <w:rsid w:val="00FF13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1E"/>
    <w:rPr>
      <w:sz w:val="24"/>
      <w:szCs w:val="24"/>
    </w:rPr>
  </w:style>
  <w:style w:type="paragraph" w:styleId="Heading1">
    <w:name w:val="heading 1"/>
    <w:basedOn w:val="Normal"/>
    <w:next w:val="Normal"/>
    <w:link w:val="Heading1Char"/>
    <w:uiPriority w:val="99"/>
    <w:qFormat/>
    <w:rsid w:val="003923DB"/>
    <w:pPr>
      <w:keepNext/>
      <w:outlineLvl w:val="0"/>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82F"/>
    <w:rPr>
      <w:rFonts w:ascii="Cambria" w:hAnsi="Cambria" w:cs="Times New Roman"/>
      <w:b/>
      <w:bCs/>
      <w:kern w:val="32"/>
      <w:sz w:val="32"/>
      <w:szCs w:val="32"/>
    </w:rPr>
  </w:style>
  <w:style w:type="character" w:styleId="Hyperlink">
    <w:name w:val="Hyperlink"/>
    <w:basedOn w:val="DefaultParagraphFont"/>
    <w:uiPriority w:val="99"/>
    <w:rsid w:val="00547007"/>
    <w:rPr>
      <w:rFonts w:cs="Times New Roman"/>
      <w:color w:val="0000FF"/>
      <w:u w:val="single"/>
    </w:rPr>
  </w:style>
  <w:style w:type="paragraph" w:styleId="Footer">
    <w:name w:val="footer"/>
    <w:basedOn w:val="Normal"/>
    <w:link w:val="FooterChar"/>
    <w:uiPriority w:val="99"/>
    <w:rsid w:val="00B25A9E"/>
    <w:pPr>
      <w:tabs>
        <w:tab w:val="center" w:pos="4819"/>
        <w:tab w:val="right" w:pos="9638"/>
      </w:tabs>
    </w:pPr>
  </w:style>
  <w:style w:type="character" w:customStyle="1" w:styleId="FooterChar">
    <w:name w:val="Footer Char"/>
    <w:basedOn w:val="DefaultParagraphFont"/>
    <w:link w:val="Footer"/>
    <w:uiPriority w:val="99"/>
    <w:semiHidden/>
    <w:locked/>
    <w:rsid w:val="0015782F"/>
    <w:rPr>
      <w:rFonts w:cs="Times New Roman"/>
      <w:sz w:val="24"/>
      <w:szCs w:val="24"/>
    </w:rPr>
  </w:style>
  <w:style w:type="character" w:styleId="PageNumber">
    <w:name w:val="page number"/>
    <w:basedOn w:val="DefaultParagraphFont"/>
    <w:uiPriority w:val="99"/>
    <w:rsid w:val="00B25A9E"/>
    <w:rPr>
      <w:rFonts w:cs="Times New Roman"/>
    </w:rPr>
  </w:style>
  <w:style w:type="paragraph" w:customStyle="1" w:styleId="Default">
    <w:name w:val="Default"/>
    <w:uiPriority w:val="99"/>
    <w:rsid w:val="00D06E1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93706"/>
    <w:rPr>
      <w:rFonts w:ascii="Tahoma" w:hAnsi="Tahoma" w:cs="Tahoma"/>
      <w:sz w:val="16"/>
      <w:szCs w:val="16"/>
    </w:rPr>
  </w:style>
  <w:style w:type="character" w:customStyle="1" w:styleId="BalloonTextChar">
    <w:name w:val="Balloon Text Char"/>
    <w:basedOn w:val="DefaultParagraphFont"/>
    <w:link w:val="BalloonText"/>
    <w:uiPriority w:val="99"/>
    <w:locked/>
    <w:rsid w:val="00393706"/>
    <w:rPr>
      <w:rFonts w:ascii="Tahoma" w:hAnsi="Tahoma" w:cs="Tahoma"/>
      <w:sz w:val="16"/>
      <w:szCs w:val="16"/>
    </w:rPr>
  </w:style>
  <w:style w:type="paragraph" w:customStyle="1" w:styleId="msonormalcxspmedio">
    <w:name w:val="msonormalcxspmedio"/>
    <w:basedOn w:val="Normal"/>
    <w:uiPriority w:val="99"/>
    <w:rsid w:val="00B238B7"/>
    <w:pPr>
      <w:spacing w:before="100" w:beforeAutospacing="1" w:after="100" w:afterAutospacing="1"/>
    </w:pPr>
  </w:style>
  <w:style w:type="table" w:styleId="TableGrid">
    <w:name w:val="Table Grid"/>
    <w:basedOn w:val="TableNormal"/>
    <w:uiPriority w:val="99"/>
    <w:rsid w:val="00B238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4A56"/>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894A56"/>
    <w:pPr>
      <w:tabs>
        <w:tab w:val="center" w:pos="4819"/>
        <w:tab w:val="right" w:pos="9638"/>
      </w:tabs>
    </w:pPr>
  </w:style>
  <w:style w:type="character" w:customStyle="1" w:styleId="HeaderChar">
    <w:name w:val="Header Char"/>
    <w:basedOn w:val="DefaultParagraphFont"/>
    <w:link w:val="Header"/>
    <w:uiPriority w:val="99"/>
    <w:locked/>
    <w:rsid w:val="00894A56"/>
    <w:rPr>
      <w:rFonts w:cs="Times New Roman"/>
      <w:sz w:val="24"/>
      <w:szCs w:val="24"/>
    </w:rPr>
  </w:style>
  <w:style w:type="character" w:styleId="Strong">
    <w:name w:val="Strong"/>
    <w:basedOn w:val="DefaultParagraphFont"/>
    <w:uiPriority w:val="99"/>
    <w:qFormat/>
    <w:locked/>
    <w:rsid w:val="001F78EE"/>
    <w:rPr>
      <w:rFonts w:cs="Times New Roman"/>
      <w:b/>
      <w:bCs/>
    </w:rPr>
  </w:style>
</w:styles>
</file>

<file path=word/webSettings.xml><?xml version="1.0" encoding="utf-8"?>
<w:webSettings xmlns:r="http://schemas.openxmlformats.org/officeDocument/2006/relationships" xmlns:w="http://schemas.openxmlformats.org/wordprocessingml/2006/main">
  <w:divs>
    <w:div w:id="1592666759">
      <w:marLeft w:val="0"/>
      <w:marRight w:val="0"/>
      <w:marTop w:val="0"/>
      <w:marBottom w:val="0"/>
      <w:divBdr>
        <w:top w:val="none" w:sz="0" w:space="0" w:color="auto"/>
        <w:left w:val="none" w:sz="0" w:space="0" w:color="auto"/>
        <w:bottom w:val="none" w:sz="0" w:space="0" w:color="auto"/>
        <w:right w:val="none" w:sz="0" w:space="0" w:color="auto"/>
      </w:divBdr>
    </w:div>
    <w:div w:id="1592666770">
      <w:marLeft w:val="0"/>
      <w:marRight w:val="0"/>
      <w:marTop w:val="0"/>
      <w:marBottom w:val="0"/>
      <w:divBdr>
        <w:top w:val="none" w:sz="0" w:space="0" w:color="auto"/>
        <w:left w:val="none" w:sz="0" w:space="0" w:color="auto"/>
        <w:bottom w:val="none" w:sz="0" w:space="0" w:color="auto"/>
        <w:right w:val="none" w:sz="0" w:space="0" w:color="auto"/>
      </w:divBdr>
      <w:divsChild>
        <w:div w:id="1592666732">
          <w:marLeft w:val="0"/>
          <w:marRight w:val="0"/>
          <w:marTop w:val="0"/>
          <w:marBottom w:val="0"/>
          <w:divBdr>
            <w:top w:val="none" w:sz="0" w:space="0" w:color="auto"/>
            <w:left w:val="none" w:sz="0" w:space="0" w:color="auto"/>
            <w:bottom w:val="none" w:sz="0" w:space="0" w:color="auto"/>
            <w:right w:val="none" w:sz="0" w:space="0" w:color="auto"/>
          </w:divBdr>
        </w:div>
        <w:div w:id="1592666733">
          <w:marLeft w:val="0"/>
          <w:marRight w:val="0"/>
          <w:marTop w:val="0"/>
          <w:marBottom w:val="0"/>
          <w:divBdr>
            <w:top w:val="none" w:sz="0" w:space="0" w:color="auto"/>
            <w:left w:val="none" w:sz="0" w:space="0" w:color="auto"/>
            <w:bottom w:val="none" w:sz="0" w:space="0" w:color="auto"/>
            <w:right w:val="none" w:sz="0" w:space="0" w:color="auto"/>
          </w:divBdr>
        </w:div>
        <w:div w:id="1592666734">
          <w:marLeft w:val="0"/>
          <w:marRight w:val="0"/>
          <w:marTop w:val="0"/>
          <w:marBottom w:val="0"/>
          <w:divBdr>
            <w:top w:val="none" w:sz="0" w:space="0" w:color="auto"/>
            <w:left w:val="none" w:sz="0" w:space="0" w:color="auto"/>
            <w:bottom w:val="none" w:sz="0" w:space="0" w:color="auto"/>
            <w:right w:val="none" w:sz="0" w:space="0" w:color="auto"/>
          </w:divBdr>
        </w:div>
        <w:div w:id="1592666735">
          <w:marLeft w:val="0"/>
          <w:marRight w:val="0"/>
          <w:marTop w:val="0"/>
          <w:marBottom w:val="0"/>
          <w:divBdr>
            <w:top w:val="none" w:sz="0" w:space="0" w:color="auto"/>
            <w:left w:val="none" w:sz="0" w:space="0" w:color="auto"/>
            <w:bottom w:val="none" w:sz="0" w:space="0" w:color="auto"/>
            <w:right w:val="none" w:sz="0" w:space="0" w:color="auto"/>
          </w:divBdr>
        </w:div>
        <w:div w:id="1592666736">
          <w:marLeft w:val="0"/>
          <w:marRight w:val="0"/>
          <w:marTop w:val="0"/>
          <w:marBottom w:val="0"/>
          <w:divBdr>
            <w:top w:val="none" w:sz="0" w:space="0" w:color="auto"/>
            <w:left w:val="none" w:sz="0" w:space="0" w:color="auto"/>
            <w:bottom w:val="none" w:sz="0" w:space="0" w:color="auto"/>
            <w:right w:val="none" w:sz="0" w:space="0" w:color="auto"/>
          </w:divBdr>
        </w:div>
        <w:div w:id="1592666737">
          <w:marLeft w:val="0"/>
          <w:marRight w:val="0"/>
          <w:marTop w:val="0"/>
          <w:marBottom w:val="0"/>
          <w:divBdr>
            <w:top w:val="none" w:sz="0" w:space="0" w:color="auto"/>
            <w:left w:val="none" w:sz="0" w:space="0" w:color="auto"/>
            <w:bottom w:val="none" w:sz="0" w:space="0" w:color="auto"/>
            <w:right w:val="none" w:sz="0" w:space="0" w:color="auto"/>
          </w:divBdr>
        </w:div>
        <w:div w:id="1592666738">
          <w:marLeft w:val="0"/>
          <w:marRight w:val="0"/>
          <w:marTop w:val="0"/>
          <w:marBottom w:val="0"/>
          <w:divBdr>
            <w:top w:val="none" w:sz="0" w:space="0" w:color="auto"/>
            <w:left w:val="none" w:sz="0" w:space="0" w:color="auto"/>
            <w:bottom w:val="none" w:sz="0" w:space="0" w:color="auto"/>
            <w:right w:val="none" w:sz="0" w:space="0" w:color="auto"/>
          </w:divBdr>
        </w:div>
        <w:div w:id="1592666739">
          <w:marLeft w:val="0"/>
          <w:marRight w:val="0"/>
          <w:marTop w:val="0"/>
          <w:marBottom w:val="0"/>
          <w:divBdr>
            <w:top w:val="none" w:sz="0" w:space="0" w:color="auto"/>
            <w:left w:val="none" w:sz="0" w:space="0" w:color="auto"/>
            <w:bottom w:val="none" w:sz="0" w:space="0" w:color="auto"/>
            <w:right w:val="none" w:sz="0" w:space="0" w:color="auto"/>
          </w:divBdr>
        </w:div>
        <w:div w:id="1592666740">
          <w:marLeft w:val="0"/>
          <w:marRight w:val="0"/>
          <w:marTop w:val="0"/>
          <w:marBottom w:val="0"/>
          <w:divBdr>
            <w:top w:val="none" w:sz="0" w:space="0" w:color="auto"/>
            <w:left w:val="none" w:sz="0" w:space="0" w:color="auto"/>
            <w:bottom w:val="none" w:sz="0" w:space="0" w:color="auto"/>
            <w:right w:val="none" w:sz="0" w:space="0" w:color="auto"/>
          </w:divBdr>
        </w:div>
        <w:div w:id="1592666741">
          <w:marLeft w:val="0"/>
          <w:marRight w:val="0"/>
          <w:marTop w:val="0"/>
          <w:marBottom w:val="0"/>
          <w:divBdr>
            <w:top w:val="none" w:sz="0" w:space="0" w:color="auto"/>
            <w:left w:val="none" w:sz="0" w:space="0" w:color="auto"/>
            <w:bottom w:val="none" w:sz="0" w:space="0" w:color="auto"/>
            <w:right w:val="none" w:sz="0" w:space="0" w:color="auto"/>
          </w:divBdr>
        </w:div>
        <w:div w:id="1592666742">
          <w:marLeft w:val="0"/>
          <w:marRight w:val="0"/>
          <w:marTop w:val="0"/>
          <w:marBottom w:val="0"/>
          <w:divBdr>
            <w:top w:val="none" w:sz="0" w:space="0" w:color="auto"/>
            <w:left w:val="none" w:sz="0" w:space="0" w:color="auto"/>
            <w:bottom w:val="none" w:sz="0" w:space="0" w:color="auto"/>
            <w:right w:val="none" w:sz="0" w:space="0" w:color="auto"/>
          </w:divBdr>
        </w:div>
        <w:div w:id="1592666743">
          <w:marLeft w:val="0"/>
          <w:marRight w:val="0"/>
          <w:marTop w:val="0"/>
          <w:marBottom w:val="0"/>
          <w:divBdr>
            <w:top w:val="none" w:sz="0" w:space="0" w:color="auto"/>
            <w:left w:val="none" w:sz="0" w:space="0" w:color="auto"/>
            <w:bottom w:val="none" w:sz="0" w:space="0" w:color="auto"/>
            <w:right w:val="none" w:sz="0" w:space="0" w:color="auto"/>
          </w:divBdr>
        </w:div>
        <w:div w:id="1592666744">
          <w:marLeft w:val="0"/>
          <w:marRight w:val="0"/>
          <w:marTop w:val="0"/>
          <w:marBottom w:val="0"/>
          <w:divBdr>
            <w:top w:val="none" w:sz="0" w:space="0" w:color="auto"/>
            <w:left w:val="none" w:sz="0" w:space="0" w:color="auto"/>
            <w:bottom w:val="none" w:sz="0" w:space="0" w:color="auto"/>
            <w:right w:val="none" w:sz="0" w:space="0" w:color="auto"/>
          </w:divBdr>
        </w:div>
        <w:div w:id="1592666745">
          <w:marLeft w:val="0"/>
          <w:marRight w:val="0"/>
          <w:marTop w:val="0"/>
          <w:marBottom w:val="0"/>
          <w:divBdr>
            <w:top w:val="none" w:sz="0" w:space="0" w:color="auto"/>
            <w:left w:val="none" w:sz="0" w:space="0" w:color="auto"/>
            <w:bottom w:val="none" w:sz="0" w:space="0" w:color="auto"/>
            <w:right w:val="none" w:sz="0" w:space="0" w:color="auto"/>
          </w:divBdr>
        </w:div>
        <w:div w:id="1592666746">
          <w:marLeft w:val="0"/>
          <w:marRight w:val="0"/>
          <w:marTop w:val="0"/>
          <w:marBottom w:val="0"/>
          <w:divBdr>
            <w:top w:val="none" w:sz="0" w:space="0" w:color="auto"/>
            <w:left w:val="none" w:sz="0" w:space="0" w:color="auto"/>
            <w:bottom w:val="none" w:sz="0" w:space="0" w:color="auto"/>
            <w:right w:val="none" w:sz="0" w:space="0" w:color="auto"/>
          </w:divBdr>
        </w:div>
        <w:div w:id="1592666747">
          <w:marLeft w:val="0"/>
          <w:marRight w:val="0"/>
          <w:marTop w:val="0"/>
          <w:marBottom w:val="0"/>
          <w:divBdr>
            <w:top w:val="none" w:sz="0" w:space="0" w:color="auto"/>
            <w:left w:val="none" w:sz="0" w:space="0" w:color="auto"/>
            <w:bottom w:val="none" w:sz="0" w:space="0" w:color="auto"/>
            <w:right w:val="none" w:sz="0" w:space="0" w:color="auto"/>
          </w:divBdr>
        </w:div>
        <w:div w:id="1592666748">
          <w:marLeft w:val="0"/>
          <w:marRight w:val="0"/>
          <w:marTop w:val="0"/>
          <w:marBottom w:val="0"/>
          <w:divBdr>
            <w:top w:val="none" w:sz="0" w:space="0" w:color="auto"/>
            <w:left w:val="none" w:sz="0" w:space="0" w:color="auto"/>
            <w:bottom w:val="none" w:sz="0" w:space="0" w:color="auto"/>
            <w:right w:val="none" w:sz="0" w:space="0" w:color="auto"/>
          </w:divBdr>
        </w:div>
        <w:div w:id="1592666749">
          <w:marLeft w:val="0"/>
          <w:marRight w:val="0"/>
          <w:marTop w:val="0"/>
          <w:marBottom w:val="0"/>
          <w:divBdr>
            <w:top w:val="none" w:sz="0" w:space="0" w:color="auto"/>
            <w:left w:val="none" w:sz="0" w:space="0" w:color="auto"/>
            <w:bottom w:val="none" w:sz="0" w:space="0" w:color="auto"/>
            <w:right w:val="none" w:sz="0" w:space="0" w:color="auto"/>
          </w:divBdr>
        </w:div>
        <w:div w:id="1592666750">
          <w:marLeft w:val="0"/>
          <w:marRight w:val="0"/>
          <w:marTop w:val="0"/>
          <w:marBottom w:val="0"/>
          <w:divBdr>
            <w:top w:val="none" w:sz="0" w:space="0" w:color="auto"/>
            <w:left w:val="none" w:sz="0" w:space="0" w:color="auto"/>
            <w:bottom w:val="none" w:sz="0" w:space="0" w:color="auto"/>
            <w:right w:val="none" w:sz="0" w:space="0" w:color="auto"/>
          </w:divBdr>
        </w:div>
        <w:div w:id="1592666751">
          <w:marLeft w:val="0"/>
          <w:marRight w:val="0"/>
          <w:marTop w:val="0"/>
          <w:marBottom w:val="0"/>
          <w:divBdr>
            <w:top w:val="none" w:sz="0" w:space="0" w:color="auto"/>
            <w:left w:val="none" w:sz="0" w:space="0" w:color="auto"/>
            <w:bottom w:val="none" w:sz="0" w:space="0" w:color="auto"/>
            <w:right w:val="none" w:sz="0" w:space="0" w:color="auto"/>
          </w:divBdr>
        </w:div>
        <w:div w:id="1592666752">
          <w:marLeft w:val="0"/>
          <w:marRight w:val="0"/>
          <w:marTop w:val="0"/>
          <w:marBottom w:val="0"/>
          <w:divBdr>
            <w:top w:val="none" w:sz="0" w:space="0" w:color="auto"/>
            <w:left w:val="none" w:sz="0" w:space="0" w:color="auto"/>
            <w:bottom w:val="none" w:sz="0" w:space="0" w:color="auto"/>
            <w:right w:val="none" w:sz="0" w:space="0" w:color="auto"/>
          </w:divBdr>
        </w:div>
        <w:div w:id="1592666753">
          <w:marLeft w:val="0"/>
          <w:marRight w:val="0"/>
          <w:marTop w:val="0"/>
          <w:marBottom w:val="0"/>
          <w:divBdr>
            <w:top w:val="none" w:sz="0" w:space="0" w:color="auto"/>
            <w:left w:val="none" w:sz="0" w:space="0" w:color="auto"/>
            <w:bottom w:val="none" w:sz="0" w:space="0" w:color="auto"/>
            <w:right w:val="none" w:sz="0" w:space="0" w:color="auto"/>
          </w:divBdr>
        </w:div>
        <w:div w:id="1592666754">
          <w:marLeft w:val="0"/>
          <w:marRight w:val="0"/>
          <w:marTop w:val="0"/>
          <w:marBottom w:val="0"/>
          <w:divBdr>
            <w:top w:val="none" w:sz="0" w:space="0" w:color="auto"/>
            <w:left w:val="none" w:sz="0" w:space="0" w:color="auto"/>
            <w:bottom w:val="none" w:sz="0" w:space="0" w:color="auto"/>
            <w:right w:val="none" w:sz="0" w:space="0" w:color="auto"/>
          </w:divBdr>
        </w:div>
        <w:div w:id="1592666755">
          <w:marLeft w:val="0"/>
          <w:marRight w:val="0"/>
          <w:marTop w:val="0"/>
          <w:marBottom w:val="0"/>
          <w:divBdr>
            <w:top w:val="none" w:sz="0" w:space="0" w:color="auto"/>
            <w:left w:val="none" w:sz="0" w:space="0" w:color="auto"/>
            <w:bottom w:val="none" w:sz="0" w:space="0" w:color="auto"/>
            <w:right w:val="none" w:sz="0" w:space="0" w:color="auto"/>
          </w:divBdr>
        </w:div>
        <w:div w:id="1592666756">
          <w:marLeft w:val="0"/>
          <w:marRight w:val="0"/>
          <w:marTop w:val="0"/>
          <w:marBottom w:val="0"/>
          <w:divBdr>
            <w:top w:val="none" w:sz="0" w:space="0" w:color="auto"/>
            <w:left w:val="none" w:sz="0" w:space="0" w:color="auto"/>
            <w:bottom w:val="none" w:sz="0" w:space="0" w:color="auto"/>
            <w:right w:val="none" w:sz="0" w:space="0" w:color="auto"/>
          </w:divBdr>
        </w:div>
        <w:div w:id="1592666757">
          <w:marLeft w:val="0"/>
          <w:marRight w:val="0"/>
          <w:marTop w:val="0"/>
          <w:marBottom w:val="0"/>
          <w:divBdr>
            <w:top w:val="none" w:sz="0" w:space="0" w:color="auto"/>
            <w:left w:val="none" w:sz="0" w:space="0" w:color="auto"/>
            <w:bottom w:val="none" w:sz="0" w:space="0" w:color="auto"/>
            <w:right w:val="none" w:sz="0" w:space="0" w:color="auto"/>
          </w:divBdr>
        </w:div>
        <w:div w:id="1592666758">
          <w:marLeft w:val="0"/>
          <w:marRight w:val="0"/>
          <w:marTop w:val="0"/>
          <w:marBottom w:val="0"/>
          <w:divBdr>
            <w:top w:val="none" w:sz="0" w:space="0" w:color="auto"/>
            <w:left w:val="none" w:sz="0" w:space="0" w:color="auto"/>
            <w:bottom w:val="none" w:sz="0" w:space="0" w:color="auto"/>
            <w:right w:val="none" w:sz="0" w:space="0" w:color="auto"/>
          </w:divBdr>
        </w:div>
        <w:div w:id="1592666760">
          <w:marLeft w:val="0"/>
          <w:marRight w:val="0"/>
          <w:marTop w:val="0"/>
          <w:marBottom w:val="0"/>
          <w:divBdr>
            <w:top w:val="none" w:sz="0" w:space="0" w:color="auto"/>
            <w:left w:val="none" w:sz="0" w:space="0" w:color="auto"/>
            <w:bottom w:val="none" w:sz="0" w:space="0" w:color="auto"/>
            <w:right w:val="none" w:sz="0" w:space="0" w:color="auto"/>
          </w:divBdr>
        </w:div>
        <w:div w:id="1592666761">
          <w:marLeft w:val="0"/>
          <w:marRight w:val="0"/>
          <w:marTop w:val="0"/>
          <w:marBottom w:val="0"/>
          <w:divBdr>
            <w:top w:val="none" w:sz="0" w:space="0" w:color="auto"/>
            <w:left w:val="none" w:sz="0" w:space="0" w:color="auto"/>
            <w:bottom w:val="none" w:sz="0" w:space="0" w:color="auto"/>
            <w:right w:val="none" w:sz="0" w:space="0" w:color="auto"/>
          </w:divBdr>
        </w:div>
        <w:div w:id="1592666762">
          <w:marLeft w:val="0"/>
          <w:marRight w:val="0"/>
          <w:marTop w:val="0"/>
          <w:marBottom w:val="0"/>
          <w:divBdr>
            <w:top w:val="none" w:sz="0" w:space="0" w:color="auto"/>
            <w:left w:val="none" w:sz="0" w:space="0" w:color="auto"/>
            <w:bottom w:val="none" w:sz="0" w:space="0" w:color="auto"/>
            <w:right w:val="none" w:sz="0" w:space="0" w:color="auto"/>
          </w:divBdr>
        </w:div>
        <w:div w:id="1592666763">
          <w:marLeft w:val="0"/>
          <w:marRight w:val="0"/>
          <w:marTop w:val="0"/>
          <w:marBottom w:val="0"/>
          <w:divBdr>
            <w:top w:val="none" w:sz="0" w:space="0" w:color="auto"/>
            <w:left w:val="none" w:sz="0" w:space="0" w:color="auto"/>
            <w:bottom w:val="none" w:sz="0" w:space="0" w:color="auto"/>
            <w:right w:val="none" w:sz="0" w:space="0" w:color="auto"/>
          </w:divBdr>
        </w:div>
        <w:div w:id="1592666764">
          <w:marLeft w:val="0"/>
          <w:marRight w:val="0"/>
          <w:marTop w:val="0"/>
          <w:marBottom w:val="0"/>
          <w:divBdr>
            <w:top w:val="none" w:sz="0" w:space="0" w:color="auto"/>
            <w:left w:val="none" w:sz="0" w:space="0" w:color="auto"/>
            <w:bottom w:val="none" w:sz="0" w:space="0" w:color="auto"/>
            <w:right w:val="none" w:sz="0" w:space="0" w:color="auto"/>
          </w:divBdr>
        </w:div>
        <w:div w:id="1592666765">
          <w:marLeft w:val="0"/>
          <w:marRight w:val="0"/>
          <w:marTop w:val="0"/>
          <w:marBottom w:val="0"/>
          <w:divBdr>
            <w:top w:val="none" w:sz="0" w:space="0" w:color="auto"/>
            <w:left w:val="none" w:sz="0" w:space="0" w:color="auto"/>
            <w:bottom w:val="none" w:sz="0" w:space="0" w:color="auto"/>
            <w:right w:val="none" w:sz="0" w:space="0" w:color="auto"/>
          </w:divBdr>
        </w:div>
        <w:div w:id="1592666766">
          <w:marLeft w:val="0"/>
          <w:marRight w:val="0"/>
          <w:marTop w:val="0"/>
          <w:marBottom w:val="0"/>
          <w:divBdr>
            <w:top w:val="none" w:sz="0" w:space="0" w:color="auto"/>
            <w:left w:val="none" w:sz="0" w:space="0" w:color="auto"/>
            <w:bottom w:val="none" w:sz="0" w:space="0" w:color="auto"/>
            <w:right w:val="none" w:sz="0" w:space="0" w:color="auto"/>
          </w:divBdr>
        </w:div>
        <w:div w:id="1592666767">
          <w:marLeft w:val="0"/>
          <w:marRight w:val="0"/>
          <w:marTop w:val="0"/>
          <w:marBottom w:val="0"/>
          <w:divBdr>
            <w:top w:val="none" w:sz="0" w:space="0" w:color="auto"/>
            <w:left w:val="none" w:sz="0" w:space="0" w:color="auto"/>
            <w:bottom w:val="none" w:sz="0" w:space="0" w:color="auto"/>
            <w:right w:val="none" w:sz="0" w:space="0" w:color="auto"/>
          </w:divBdr>
        </w:div>
        <w:div w:id="1592666768">
          <w:marLeft w:val="0"/>
          <w:marRight w:val="0"/>
          <w:marTop w:val="0"/>
          <w:marBottom w:val="0"/>
          <w:divBdr>
            <w:top w:val="none" w:sz="0" w:space="0" w:color="auto"/>
            <w:left w:val="none" w:sz="0" w:space="0" w:color="auto"/>
            <w:bottom w:val="none" w:sz="0" w:space="0" w:color="auto"/>
            <w:right w:val="none" w:sz="0" w:space="0" w:color="auto"/>
          </w:divBdr>
        </w:div>
        <w:div w:id="1592666769">
          <w:marLeft w:val="0"/>
          <w:marRight w:val="0"/>
          <w:marTop w:val="0"/>
          <w:marBottom w:val="0"/>
          <w:divBdr>
            <w:top w:val="none" w:sz="0" w:space="0" w:color="auto"/>
            <w:left w:val="none" w:sz="0" w:space="0" w:color="auto"/>
            <w:bottom w:val="none" w:sz="0" w:space="0" w:color="auto"/>
            <w:right w:val="none" w:sz="0" w:space="0" w:color="auto"/>
          </w:divBdr>
        </w:div>
        <w:div w:id="1592666771">
          <w:marLeft w:val="0"/>
          <w:marRight w:val="0"/>
          <w:marTop w:val="0"/>
          <w:marBottom w:val="0"/>
          <w:divBdr>
            <w:top w:val="none" w:sz="0" w:space="0" w:color="auto"/>
            <w:left w:val="none" w:sz="0" w:space="0" w:color="auto"/>
            <w:bottom w:val="none" w:sz="0" w:space="0" w:color="auto"/>
            <w:right w:val="none" w:sz="0" w:space="0" w:color="auto"/>
          </w:divBdr>
        </w:div>
        <w:div w:id="1592666772">
          <w:marLeft w:val="0"/>
          <w:marRight w:val="0"/>
          <w:marTop w:val="0"/>
          <w:marBottom w:val="0"/>
          <w:divBdr>
            <w:top w:val="none" w:sz="0" w:space="0" w:color="auto"/>
            <w:left w:val="none" w:sz="0" w:space="0" w:color="auto"/>
            <w:bottom w:val="none" w:sz="0" w:space="0" w:color="auto"/>
            <w:right w:val="none" w:sz="0" w:space="0" w:color="auto"/>
          </w:divBdr>
        </w:div>
        <w:div w:id="1592666773">
          <w:marLeft w:val="0"/>
          <w:marRight w:val="0"/>
          <w:marTop w:val="0"/>
          <w:marBottom w:val="0"/>
          <w:divBdr>
            <w:top w:val="none" w:sz="0" w:space="0" w:color="auto"/>
            <w:left w:val="none" w:sz="0" w:space="0" w:color="auto"/>
            <w:bottom w:val="none" w:sz="0" w:space="0" w:color="auto"/>
            <w:right w:val="none" w:sz="0" w:space="0" w:color="auto"/>
          </w:divBdr>
        </w:div>
        <w:div w:id="1592666774">
          <w:marLeft w:val="0"/>
          <w:marRight w:val="0"/>
          <w:marTop w:val="0"/>
          <w:marBottom w:val="0"/>
          <w:divBdr>
            <w:top w:val="none" w:sz="0" w:space="0" w:color="auto"/>
            <w:left w:val="none" w:sz="0" w:space="0" w:color="auto"/>
            <w:bottom w:val="none" w:sz="0" w:space="0" w:color="auto"/>
            <w:right w:val="none" w:sz="0" w:space="0" w:color="auto"/>
          </w:divBdr>
        </w:div>
        <w:div w:id="1592666775">
          <w:marLeft w:val="0"/>
          <w:marRight w:val="0"/>
          <w:marTop w:val="0"/>
          <w:marBottom w:val="0"/>
          <w:divBdr>
            <w:top w:val="none" w:sz="0" w:space="0" w:color="auto"/>
            <w:left w:val="none" w:sz="0" w:space="0" w:color="auto"/>
            <w:bottom w:val="none" w:sz="0" w:space="0" w:color="auto"/>
            <w:right w:val="none" w:sz="0" w:space="0" w:color="auto"/>
          </w:divBdr>
        </w:div>
        <w:div w:id="1592666777">
          <w:marLeft w:val="0"/>
          <w:marRight w:val="0"/>
          <w:marTop w:val="0"/>
          <w:marBottom w:val="0"/>
          <w:divBdr>
            <w:top w:val="none" w:sz="0" w:space="0" w:color="auto"/>
            <w:left w:val="none" w:sz="0" w:space="0" w:color="auto"/>
            <w:bottom w:val="none" w:sz="0" w:space="0" w:color="auto"/>
            <w:right w:val="none" w:sz="0" w:space="0" w:color="auto"/>
          </w:divBdr>
        </w:div>
        <w:div w:id="1592666778">
          <w:marLeft w:val="0"/>
          <w:marRight w:val="0"/>
          <w:marTop w:val="0"/>
          <w:marBottom w:val="0"/>
          <w:divBdr>
            <w:top w:val="none" w:sz="0" w:space="0" w:color="auto"/>
            <w:left w:val="none" w:sz="0" w:space="0" w:color="auto"/>
            <w:bottom w:val="none" w:sz="0" w:space="0" w:color="auto"/>
            <w:right w:val="none" w:sz="0" w:space="0" w:color="auto"/>
          </w:divBdr>
        </w:div>
        <w:div w:id="1592666779">
          <w:marLeft w:val="0"/>
          <w:marRight w:val="0"/>
          <w:marTop w:val="0"/>
          <w:marBottom w:val="0"/>
          <w:divBdr>
            <w:top w:val="none" w:sz="0" w:space="0" w:color="auto"/>
            <w:left w:val="none" w:sz="0" w:space="0" w:color="auto"/>
            <w:bottom w:val="none" w:sz="0" w:space="0" w:color="auto"/>
            <w:right w:val="none" w:sz="0" w:space="0" w:color="auto"/>
          </w:divBdr>
        </w:div>
        <w:div w:id="1592666780">
          <w:marLeft w:val="0"/>
          <w:marRight w:val="0"/>
          <w:marTop w:val="0"/>
          <w:marBottom w:val="0"/>
          <w:divBdr>
            <w:top w:val="none" w:sz="0" w:space="0" w:color="auto"/>
            <w:left w:val="none" w:sz="0" w:space="0" w:color="auto"/>
            <w:bottom w:val="none" w:sz="0" w:space="0" w:color="auto"/>
            <w:right w:val="none" w:sz="0" w:space="0" w:color="auto"/>
          </w:divBdr>
        </w:div>
        <w:div w:id="1592666781">
          <w:marLeft w:val="0"/>
          <w:marRight w:val="0"/>
          <w:marTop w:val="0"/>
          <w:marBottom w:val="0"/>
          <w:divBdr>
            <w:top w:val="none" w:sz="0" w:space="0" w:color="auto"/>
            <w:left w:val="none" w:sz="0" w:space="0" w:color="auto"/>
            <w:bottom w:val="none" w:sz="0" w:space="0" w:color="auto"/>
            <w:right w:val="none" w:sz="0" w:space="0" w:color="auto"/>
          </w:divBdr>
        </w:div>
        <w:div w:id="1592666782">
          <w:marLeft w:val="0"/>
          <w:marRight w:val="0"/>
          <w:marTop w:val="0"/>
          <w:marBottom w:val="0"/>
          <w:divBdr>
            <w:top w:val="none" w:sz="0" w:space="0" w:color="auto"/>
            <w:left w:val="none" w:sz="0" w:space="0" w:color="auto"/>
            <w:bottom w:val="none" w:sz="0" w:space="0" w:color="auto"/>
            <w:right w:val="none" w:sz="0" w:space="0" w:color="auto"/>
          </w:divBdr>
        </w:div>
        <w:div w:id="1592666783">
          <w:marLeft w:val="0"/>
          <w:marRight w:val="0"/>
          <w:marTop w:val="0"/>
          <w:marBottom w:val="0"/>
          <w:divBdr>
            <w:top w:val="none" w:sz="0" w:space="0" w:color="auto"/>
            <w:left w:val="none" w:sz="0" w:space="0" w:color="auto"/>
            <w:bottom w:val="none" w:sz="0" w:space="0" w:color="auto"/>
            <w:right w:val="none" w:sz="0" w:space="0" w:color="auto"/>
          </w:divBdr>
        </w:div>
        <w:div w:id="1592666784">
          <w:marLeft w:val="0"/>
          <w:marRight w:val="0"/>
          <w:marTop w:val="0"/>
          <w:marBottom w:val="0"/>
          <w:divBdr>
            <w:top w:val="none" w:sz="0" w:space="0" w:color="auto"/>
            <w:left w:val="none" w:sz="0" w:space="0" w:color="auto"/>
            <w:bottom w:val="none" w:sz="0" w:space="0" w:color="auto"/>
            <w:right w:val="none" w:sz="0" w:space="0" w:color="auto"/>
          </w:divBdr>
        </w:div>
        <w:div w:id="1592666785">
          <w:marLeft w:val="0"/>
          <w:marRight w:val="0"/>
          <w:marTop w:val="0"/>
          <w:marBottom w:val="0"/>
          <w:divBdr>
            <w:top w:val="none" w:sz="0" w:space="0" w:color="auto"/>
            <w:left w:val="none" w:sz="0" w:space="0" w:color="auto"/>
            <w:bottom w:val="none" w:sz="0" w:space="0" w:color="auto"/>
            <w:right w:val="none" w:sz="0" w:space="0" w:color="auto"/>
          </w:divBdr>
        </w:div>
        <w:div w:id="1592666786">
          <w:marLeft w:val="0"/>
          <w:marRight w:val="0"/>
          <w:marTop w:val="0"/>
          <w:marBottom w:val="0"/>
          <w:divBdr>
            <w:top w:val="none" w:sz="0" w:space="0" w:color="auto"/>
            <w:left w:val="none" w:sz="0" w:space="0" w:color="auto"/>
            <w:bottom w:val="none" w:sz="0" w:space="0" w:color="auto"/>
            <w:right w:val="none" w:sz="0" w:space="0" w:color="auto"/>
          </w:divBdr>
        </w:div>
        <w:div w:id="1592666787">
          <w:marLeft w:val="0"/>
          <w:marRight w:val="0"/>
          <w:marTop w:val="0"/>
          <w:marBottom w:val="0"/>
          <w:divBdr>
            <w:top w:val="none" w:sz="0" w:space="0" w:color="auto"/>
            <w:left w:val="none" w:sz="0" w:space="0" w:color="auto"/>
            <w:bottom w:val="none" w:sz="0" w:space="0" w:color="auto"/>
            <w:right w:val="none" w:sz="0" w:space="0" w:color="auto"/>
          </w:divBdr>
        </w:div>
        <w:div w:id="1592666788">
          <w:marLeft w:val="0"/>
          <w:marRight w:val="0"/>
          <w:marTop w:val="0"/>
          <w:marBottom w:val="0"/>
          <w:divBdr>
            <w:top w:val="none" w:sz="0" w:space="0" w:color="auto"/>
            <w:left w:val="none" w:sz="0" w:space="0" w:color="auto"/>
            <w:bottom w:val="none" w:sz="0" w:space="0" w:color="auto"/>
            <w:right w:val="none" w:sz="0" w:space="0" w:color="auto"/>
          </w:divBdr>
        </w:div>
        <w:div w:id="1592666789">
          <w:marLeft w:val="0"/>
          <w:marRight w:val="0"/>
          <w:marTop w:val="0"/>
          <w:marBottom w:val="0"/>
          <w:divBdr>
            <w:top w:val="none" w:sz="0" w:space="0" w:color="auto"/>
            <w:left w:val="none" w:sz="0" w:space="0" w:color="auto"/>
            <w:bottom w:val="none" w:sz="0" w:space="0" w:color="auto"/>
            <w:right w:val="none" w:sz="0" w:space="0" w:color="auto"/>
          </w:divBdr>
        </w:div>
        <w:div w:id="1592666790">
          <w:marLeft w:val="0"/>
          <w:marRight w:val="0"/>
          <w:marTop w:val="0"/>
          <w:marBottom w:val="0"/>
          <w:divBdr>
            <w:top w:val="none" w:sz="0" w:space="0" w:color="auto"/>
            <w:left w:val="none" w:sz="0" w:space="0" w:color="auto"/>
            <w:bottom w:val="none" w:sz="0" w:space="0" w:color="auto"/>
            <w:right w:val="none" w:sz="0" w:space="0" w:color="auto"/>
          </w:divBdr>
        </w:div>
        <w:div w:id="1592666791">
          <w:marLeft w:val="0"/>
          <w:marRight w:val="0"/>
          <w:marTop w:val="0"/>
          <w:marBottom w:val="0"/>
          <w:divBdr>
            <w:top w:val="none" w:sz="0" w:space="0" w:color="auto"/>
            <w:left w:val="none" w:sz="0" w:space="0" w:color="auto"/>
            <w:bottom w:val="none" w:sz="0" w:space="0" w:color="auto"/>
            <w:right w:val="none" w:sz="0" w:space="0" w:color="auto"/>
          </w:divBdr>
        </w:div>
        <w:div w:id="1592666792">
          <w:marLeft w:val="0"/>
          <w:marRight w:val="0"/>
          <w:marTop w:val="0"/>
          <w:marBottom w:val="0"/>
          <w:divBdr>
            <w:top w:val="none" w:sz="0" w:space="0" w:color="auto"/>
            <w:left w:val="none" w:sz="0" w:space="0" w:color="auto"/>
            <w:bottom w:val="none" w:sz="0" w:space="0" w:color="auto"/>
            <w:right w:val="none" w:sz="0" w:space="0" w:color="auto"/>
          </w:divBdr>
        </w:div>
        <w:div w:id="1592666793">
          <w:marLeft w:val="0"/>
          <w:marRight w:val="0"/>
          <w:marTop w:val="0"/>
          <w:marBottom w:val="0"/>
          <w:divBdr>
            <w:top w:val="none" w:sz="0" w:space="0" w:color="auto"/>
            <w:left w:val="none" w:sz="0" w:space="0" w:color="auto"/>
            <w:bottom w:val="none" w:sz="0" w:space="0" w:color="auto"/>
            <w:right w:val="none" w:sz="0" w:space="0" w:color="auto"/>
          </w:divBdr>
        </w:div>
        <w:div w:id="1592666794">
          <w:marLeft w:val="0"/>
          <w:marRight w:val="0"/>
          <w:marTop w:val="0"/>
          <w:marBottom w:val="0"/>
          <w:divBdr>
            <w:top w:val="none" w:sz="0" w:space="0" w:color="auto"/>
            <w:left w:val="none" w:sz="0" w:space="0" w:color="auto"/>
            <w:bottom w:val="none" w:sz="0" w:space="0" w:color="auto"/>
            <w:right w:val="none" w:sz="0" w:space="0" w:color="auto"/>
          </w:divBdr>
        </w:div>
        <w:div w:id="1592666795">
          <w:marLeft w:val="0"/>
          <w:marRight w:val="0"/>
          <w:marTop w:val="0"/>
          <w:marBottom w:val="0"/>
          <w:divBdr>
            <w:top w:val="none" w:sz="0" w:space="0" w:color="auto"/>
            <w:left w:val="none" w:sz="0" w:space="0" w:color="auto"/>
            <w:bottom w:val="none" w:sz="0" w:space="0" w:color="auto"/>
            <w:right w:val="none" w:sz="0" w:space="0" w:color="auto"/>
          </w:divBdr>
        </w:div>
        <w:div w:id="1592666796">
          <w:marLeft w:val="0"/>
          <w:marRight w:val="0"/>
          <w:marTop w:val="0"/>
          <w:marBottom w:val="0"/>
          <w:divBdr>
            <w:top w:val="none" w:sz="0" w:space="0" w:color="auto"/>
            <w:left w:val="none" w:sz="0" w:space="0" w:color="auto"/>
            <w:bottom w:val="none" w:sz="0" w:space="0" w:color="auto"/>
            <w:right w:val="none" w:sz="0" w:space="0" w:color="auto"/>
          </w:divBdr>
        </w:div>
        <w:div w:id="1592666797">
          <w:marLeft w:val="0"/>
          <w:marRight w:val="0"/>
          <w:marTop w:val="0"/>
          <w:marBottom w:val="0"/>
          <w:divBdr>
            <w:top w:val="none" w:sz="0" w:space="0" w:color="auto"/>
            <w:left w:val="none" w:sz="0" w:space="0" w:color="auto"/>
            <w:bottom w:val="none" w:sz="0" w:space="0" w:color="auto"/>
            <w:right w:val="none" w:sz="0" w:space="0" w:color="auto"/>
          </w:divBdr>
        </w:div>
        <w:div w:id="1592666798">
          <w:marLeft w:val="0"/>
          <w:marRight w:val="0"/>
          <w:marTop w:val="0"/>
          <w:marBottom w:val="0"/>
          <w:divBdr>
            <w:top w:val="none" w:sz="0" w:space="0" w:color="auto"/>
            <w:left w:val="none" w:sz="0" w:space="0" w:color="auto"/>
            <w:bottom w:val="none" w:sz="0" w:space="0" w:color="auto"/>
            <w:right w:val="none" w:sz="0" w:space="0" w:color="auto"/>
          </w:divBdr>
        </w:div>
        <w:div w:id="1592666799">
          <w:marLeft w:val="0"/>
          <w:marRight w:val="0"/>
          <w:marTop w:val="0"/>
          <w:marBottom w:val="0"/>
          <w:divBdr>
            <w:top w:val="none" w:sz="0" w:space="0" w:color="auto"/>
            <w:left w:val="none" w:sz="0" w:space="0" w:color="auto"/>
            <w:bottom w:val="none" w:sz="0" w:space="0" w:color="auto"/>
            <w:right w:val="none" w:sz="0" w:space="0" w:color="auto"/>
          </w:divBdr>
        </w:div>
        <w:div w:id="1592666800">
          <w:marLeft w:val="0"/>
          <w:marRight w:val="0"/>
          <w:marTop w:val="0"/>
          <w:marBottom w:val="0"/>
          <w:divBdr>
            <w:top w:val="none" w:sz="0" w:space="0" w:color="auto"/>
            <w:left w:val="none" w:sz="0" w:space="0" w:color="auto"/>
            <w:bottom w:val="none" w:sz="0" w:space="0" w:color="auto"/>
            <w:right w:val="none" w:sz="0" w:space="0" w:color="auto"/>
          </w:divBdr>
        </w:div>
        <w:div w:id="1592666801">
          <w:marLeft w:val="0"/>
          <w:marRight w:val="0"/>
          <w:marTop w:val="0"/>
          <w:marBottom w:val="0"/>
          <w:divBdr>
            <w:top w:val="none" w:sz="0" w:space="0" w:color="auto"/>
            <w:left w:val="none" w:sz="0" w:space="0" w:color="auto"/>
            <w:bottom w:val="none" w:sz="0" w:space="0" w:color="auto"/>
            <w:right w:val="none" w:sz="0" w:space="0" w:color="auto"/>
          </w:divBdr>
        </w:div>
        <w:div w:id="1592666802">
          <w:marLeft w:val="0"/>
          <w:marRight w:val="0"/>
          <w:marTop w:val="0"/>
          <w:marBottom w:val="0"/>
          <w:divBdr>
            <w:top w:val="none" w:sz="0" w:space="0" w:color="auto"/>
            <w:left w:val="none" w:sz="0" w:space="0" w:color="auto"/>
            <w:bottom w:val="none" w:sz="0" w:space="0" w:color="auto"/>
            <w:right w:val="none" w:sz="0" w:space="0" w:color="auto"/>
          </w:divBdr>
        </w:div>
        <w:div w:id="1592666803">
          <w:marLeft w:val="0"/>
          <w:marRight w:val="0"/>
          <w:marTop w:val="0"/>
          <w:marBottom w:val="0"/>
          <w:divBdr>
            <w:top w:val="none" w:sz="0" w:space="0" w:color="auto"/>
            <w:left w:val="none" w:sz="0" w:space="0" w:color="auto"/>
            <w:bottom w:val="none" w:sz="0" w:space="0" w:color="auto"/>
            <w:right w:val="none" w:sz="0" w:space="0" w:color="auto"/>
          </w:divBdr>
        </w:div>
        <w:div w:id="1592666804">
          <w:marLeft w:val="0"/>
          <w:marRight w:val="0"/>
          <w:marTop w:val="0"/>
          <w:marBottom w:val="0"/>
          <w:divBdr>
            <w:top w:val="none" w:sz="0" w:space="0" w:color="auto"/>
            <w:left w:val="none" w:sz="0" w:space="0" w:color="auto"/>
            <w:bottom w:val="none" w:sz="0" w:space="0" w:color="auto"/>
            <w:right w:val="none" w:sz="0" w:space="0" w:color="auto"/>
          </w:divBdr>
        </w:div>
        <w:div w:id="1592666805">
          <w:marLeft w:val="0"/>
          <w:marRight w:val="0"/>
          <w:marTop w:val="0"/>
          <w:marBottom w:val="0"/>
          <w:divBdr>
            <w:top w:val="none" w:sz="0" w:space="0" w:color="auto"/>
            <w:left w:val="none" w:sz="0" w:space="0" w:color="auto"/>
            <w:bottom w:val="none" w:sz="0" w:space="0" w:color="auto"/>
            <w:right w:val="none" w:sz="0" w:space="0" w:color="auto"/>
          </w:divBdr>
        </w:div>
        <w:div w:id="1592666806">
          <w:marLeft w:val="0"/>
          <w:marRight w:val="0"/>
          <w:marTop w:val="0"/>
          <w:marBottom w:val="0"/>
          <w:divBdr>
            <w:top w:val="none" w:sz="0" w:space="0" w:color="auto"/>
            <w:left w:val="none" w:sz="0" w:space="0" w:color="auto"/>
            <w:bottom w:val="none" w:sz="0" w:space="0" w:color="auto"/>
            <w:right w:val="none" w:sz="0" w:space="0" w:color="auto"/>
          </w:divBdr>
        </w:div>
        <w:div w:id="1592666807">
          <w:marLeft w:val="0"/>
          <w:marRight w:val="0"/>
          <w:marTop w:val="0"/>
          <w:marBottom w:val="0"/>
          <w:divBdr>
            <w:top w:val="none" w:sz="0" w:space="0" w:color="auto"/>
            <w:left w:val="none" w:sz="0" w:space="0" w:color="auto"/>
            <w:bottom w:val="none" w:sz="0" w:space="0" w:color="auto"/>
            <w:right w:val="none" w:sz="0" w:space="0" w:color="auto"/>
          </w:divBdr>
        </w:div>
        <w:div w:id="1592666808">
          <w:marLeft w:val="0"/>
          <w:marRight w:val="0"/>
          <w:marTop w:val="0"/>
          <w:marBottom w:val="0"/>
          <w:divBdr>
            <w:top w:val="none" w:sz="0" w:space="0" w:color="auto"/>
            <w:left w:val="none" w:sz="0" w:space="0" w:color="auto"/>
            <w:bottom w:val="none" w:sz="0" w:space="0" w:color="auto"/>
            <w:right w:val="none" w:sz="0" w:space="0" w:color="auto"/>
          </w:divBdr>
        </w:div>
        <w:div w:id="1592666809">
          <w:marLeft w:val="0"/>
          <w:marRight w:val="0"/>
          <w:marTop w:val="0"/>
          <w:marBottom w:val="0"/>
          <w:divBdr>
            <w:top w:val="none" w:sz="0" w:space="0" w:color="auto"/>
            <w:left w:val="none" w:sz="0" w:space="0" w:color="auto"/>
            <w:bottom w:val="none" w:sz="0" w:space="0" w:color="auto"/>
            <w:right w:val="none" w:sz="0" w:space="0" w:color="auto"/>
          </w:divBdr>
        </w:div>
        <w:div w:id="1592666810">
          <w:marLeft w:val="0"/>
          <w:marRight w:val="0"/>
          <w:marTop w:val="0"/>
          <w:marBottom w:val="0"/>
          <w:divBdr>
            <w:top w:val="none" w:sz="0" w:space="0" w:color="auto"/>
            <w:left w:val="none" w:sz="0" w:space="0" w:color="auto"/>
            <w:bottom w:val="none" w:sz="0" w:space="0" w:color="auto"/>
            <w:right w:val="none" w:sz="0" w:space="0" w:color="auto"/>
          </w:divBdr>
        </w:div>
        <w:div w:id="1592666811">
          <w:marLeft w:val="0"/>
          <w:marRight w:val="0"/>
          <w:marTop w:val="0"/>
          <w:marBottom w:val="0"/>
          <w:divBdr>
            <w:top w:val="none" w:sz="0" w:space="0" w:color="auto"/>
            <w:left w:val="none" w:sz="0" w:space="0" w:color="auto"/>
            <w:bottom w:val="none" w:sz="0" w:space="0" w:color="auto"/>
            <w:right w:val="none" w:sz="0" w:space="0" w:color="auto"/>
          </w:divBdr>
        </w:div>
        <w:div w:id="159266681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1592666814">
          <w:marLeft w:val="0"/>
          <w:marRight w:val="0"/>
          <w:marTop w:val="0"/>
          <w:marBottom w:val="0"/>
          <w:divBdr>
            <w:top w:val="none" w:sz="0" w:space="0" w:color="auto"/>
            <w:left w:val="none" w:sz="0" w:space="0" w:color="auto"/>
            <w:bottom w:val="none" w:sz="0" w:space="0" w:color="auto"/>
            <w:right w:val="none" w:sz="0" w:space="0" w:color="auto"/>
          </w:divBdr>
        </w:div>
        <w:div w:id="1592666815">
          <w:marLeft w:val="0"/>
          <w:marRight w:val="0"/>
          <w:marTop w:val="0"/>
          <w:marBottom w:val="0"/>
          <w:divBdr>
            <w:top w:val="none" w:sz="0" w:space="0" w:color="auto"/>
            <w:left w:val="none" w:sz="0" w:space="0" w:color="auto"/>
            <w:bottom w:val="none" w:sz="0" w:space="0" w:color="auto"/>
            <w:right w:val="none" w:sz="0" w:space="0" w:color="auto"/>
          </w:divBdr>
        </w:div>
        <w:div w:id="1592666816">
          <w:marLeft w:val="0"/>
          <w:marRight w:val="0"/>
          <w:marTop w:val="0"/>
          <w:marBottom w:val="0"/>
          <w:divBdr>
            <w:top w:val="none" w:sz="0" w:space="0" w:color="auto"/>
            <w:left w:val="none" w:sz="0" w:space="0" w:color="auto"/>
            <w:bottom w:val="none" w:sz="0" w:space="0" w:color="auto"/>
            <w:right w:val="none" w:sz="0" w:space="0" w:color="auto"/>
          </w:divBdr>
        </w:div>
        <w:div w:id="1592666817">
          <w:marLeft w:val="0"/>
          <w:marRight w:val="0"/>
          <w:marTop w:val="0"/>
          <w:marBottom w:val="0"/>
          <w:divBdr>
            <w:top w:val="none" w:sz="0" w:space="0" w:color="auto"/>
            <w:left w:val="none" w:sz="0" w:space="0" w:color="auto"/>
            <w:bottom w:val="none" w:sz="0" w:space="0" w:color="auto"/>
            <w:right w:val="none" w:sz="0" w:space="0" w:color="auto"/>
          </w:divBdr>
        </w:div>
        <w:div w:id="1592666818">
          <w:marLeft w:val="0"/>
          <w:marRight w:val="0"/>
          <w:marTop w:val="0"/>
          <w:marBottom w:val="0"/>
          <w:divBdr>
            <w:top w:val="none" w:sz="0" w:space="0" w:color="auto"/>
            <w:left w:val="none" w:sz="0" w:space="0" w:color="auto"/>
            <w:bottom w:val="none" w:sz="0" w:space="0" w:color="auto"/>
            <w:right w:val="none" w:sz="0" w:space="0" w:color="auto"/>
          </w:divBdr>
        </w:div>
        <w:div w:id="1592666819">
          <w:marLeft w:val="0"/>
          <w:marRight w:val="0"/>
          <w:marTop w:val="0"/>
          <w:marBottom w:val="0"/>
          <w:divBdr>
            <w:top w:val="none" w:sz="0" w:space="0" w:color="auto"/>
            <w:left w:val="none" w:sz="0" w:space="0" w:color="auto"/>
            <w:bottom w:val="none" w:sz="0" w:space="0" w:color="auto"/>
            <w:right w:val="none" w:sz="0" w:space="0" w:color="auto"/>
          </w:divBdr>
        </w:div>
        <w:div w:id="1592666820">
          <w:marLeft w:val="0"/>
          <w:marRight w:val="0"/>
          <w:marTop w:val="0"/>
          <w:marBottom w:val="0"/>
          <w:divBdr>
            <w:top w:val="none" w:sz="0" w:space="0" w:color="auto"/>
            <w:left w:val="none" w:sz="0" w:space="0" w:color="auto"/>
            <w:bottom w:val="none" w:sz="0" w:space="0" w:color="auto"/>
            <w:right w:val="none" w:sz="0" w:space="0" w:color="auto"/>
          </w:divBdr>
        </w:div>
        <w:div w:id="1592666821">
          <w:marLeft w:val="0"/>
          <w:marRight w:val="0"/>
          <w:marTop w:val="0"/>
          <w:marBottom w:val="0"/>
          <w:divBdr>
            <w:top w:val="none" w:sz="0" w:space="0" w:color="auto"/>
            <w:left w:val="none" w:sz="0" w:space="0" w:color="auto"/>
            <w:bottom w:val="none" w:sz="0" w:space="0" w:color="auto"/>
            <w:right w:val="none" w:sz="0" w:space="0" w:color="auto"/>
          </w:divBdr>
        </w:div>
        <w:div w:id="1592666822">
          <w:marLeft w:val="0"/>
          <w:marRight w:val="0"/>
          <w:marTop w:val="0"/>
          <w:marBottom w:val="0"/>
          <w:divBdr>
            <w:top w:val="none" w:sz="0" w:space="0" w:color="auto"/>
            <w:left w:val="none" w:sz="0" w:space="0" w:color="auto"/>
            <w:bottom w:val="none" w:sz="0" w:space="0" w:color="auto"/>
            <w:right w:val="none" w:sz="0" w:space="0" w:color="auto"/>
          </w:divBdr>
        </w:div>
        <w:div w:id="1592666823">
          <w:marLeft w:val="0"/>
          <w:marRight w:val="0"/>
          <w:marTop w:val="0"/>
          <w:marBottom w:val="0"/>
          <w:divBdr>
            <w:top w:val="none" w:sz="0" w:space="0" w:color="auto"/>
            <w:left w:val="none" w:sz="0" w:space="0" w:color="auto"/>
            <w:bottom w:val="none" w:sz="0" w:space="0" w:color="auto"/>
            <w:right w:val="none" w:sz="0" w:space="0" w:color="auto"/>
          </w:divBdr>
        </w:div>
        <w:div w:id="1592666824">
          <w:marLeft w:val="0"/>
          <w:marRight w:val="0"/>
          <w:marTop w:val="0"/>
          <w:marBottom w:val="0"/>
          <w:divBdr>
            <w:top w:val="none" w:sz="0" w:space="0" w:color="auto"/>
            <w:left w:val="none" w:sz="0" w:space="0" w:color="auto"/>
            <w:bottom w:val="none" w:sz="0" w:space="0" w:color="auto"/>
            <w:right w:val="none" w:sz="0" w:space="0" w:color="auto"/>
          </w:divBdr>
        </w:div>
        <w:div w:id="1592666825">
          <w:marLeft w:val="0"/>
          <w:marRight w:val="0"/>
          <w:marTop w:val="0"/>
          <w:marBottom w:val="0"/>
          <w:divBdr>
            <w:top w:val="none" w:sz="0" w:space="0" w:color="auto"/>
            <w:left w:val="none" w:sz="0" w:space="0" w:color="auto"/>
            <w:bottom w:val="none" w:sz="0" w:space="0" w:color="auto"/>
            <w:right w:val="none" w:sz="0" w:space="0" w:color="auto"/>
          </w:divBdr>
        </w:div>
        <w:div w:id="1592666826">
          <w:marLeft w:val="0"/>
          <w:marRight w:val="0"/>
          <w:marTop w:val="0"/>
          <w:marBottom w:val="0"/>
          <w:divBdr>
            <w:top w:val="none" w:sz="0" w:space="0" w:color="auto"/>
            <w:left w:val="none" w:sz="0" w:space="0" w:color="auto"/>
            <w:bottom w:val="none" w:sz="0" w:space="0" w:color="auto"/>
            <w:right w:val="none" w:sz="0" w:space="0" w:color="auto"/>
          </w:divBdr>
        </w:div>
        <w:div w:id="1592666827">
          <w:marLeft w:val="0"/>
          <w:marRight w:val="0"/>
          <w:marTop w:val="0"/>
          <w:marBottom w:val="0"/>
          <w:divBdr>
            <w:top w:val="none" w:sz="0" w:space="0" w:color="auto"/>
            <w:left w:val="none" w:sz="0" w:space="0" w:color="auto"/>
            <w:bottom w:val="none" w:sz="0" w:space="0" w:color="auto"/>
            <w:right w:val="none" w:sz="0" w:space="0" w:color="auto"/>
          </w:divBdr>
        </w:div>
        <w:div w:id="1592666828">
          <w:marLeft w:val="0"/>
          <w:marRight w:val="0"/>
          <w:marTop w:val="0"/>
          <w:marBottom w:val="0"/>
          <w:divBdr>
            <w:top w:val="none" w:sz="0" w:space="0" w:color="auto"/>
            <w:left w:val="none" w:sz="0" w:space="0" w:color="auto"/>
            <w:bottom w:val="none" w:sz="0" w:space="0" w:color="auto"/>
            <w:right w:val="none" w:sz="0" w:space="0" w:color="auto"/>
          </w:divBdr>
        </w:div>
        <w:div w:id="1592666829">
          <w:marLeft w:val="0"/>
          <w:marRight w:val="0"/>
          <w:marTop w:val="0"/>
          <w:marBottom w:val="0"/>
          <w:divBdr>
            <w:top w:val="none" w:sz="0" w:space="0" w:color="auto"/>
            <w:left w:val="none" w:sz="0" w:space="0" w:color="auto"/>
            <w:bottom w:val="none" w:sz="0" w:space="0" w:color="auto"/>
            <w:right w:val="none" w:sz="0" w:space="0" w:color="auto"/>
          </w:divBdr>
        </w:div>
        <w:div w:id="1592666830">
          <w:marLeft w:val="0"/>
          <w:marRight w:val="0"/>
          <w:marTop w:val="0"/>
          <w:marBottom w:val="0"/>
          <w:divBdr>
            <w:top w:val="none" w:sz="0" w:space="0" w:color="auto"/>
            <w:left w:val="none" w:sz="0" w:space="0" w:color="auto"/>
            <w:bottom w:val="none" w:sz="0" w:space="0" w:color="auto"/>
            <w:right w:val="none" w:sz="0" w:space="0" w:color="auto"/>
          </w:divBdr>
        </w:div>
        <w:div w:id="1592666831">
          <w:marLeft w:val="0"/>
          <w:marRight w:val="0"/>
          <w:marTop w:val="0"/>
          <w:marBottom w:val="0"/>
          <w:divBdr>
            <w:top w:val="none" w:sz="0" w:space="0" w:color="auto"/>
            <w:left w:val="none" w:sz="0" w:space="0" w:color="auto"/>
            <w:bottom w:val="none" w:sz="0" w:space="0" w:color="auto"/>
            <w:right w:val="none" w:sz="0" w:space="0" w:color="auto"/>
          </w:divBdr>
        </w:div>
        <w:div w:id="1592666832">
          <w:marLeft w:val="0"/>
          <w:marRight w:val="0"/>
          <w:marTop w:val="0"/>
          <w:marBottom w:val="0"/>
          <w:divBdr>
            <w:top w:val="none" w:sz="0" w:space="0" w:color="auto"/>
            <w:left w:val="none" w:sz="0" w:space="0" w:color="auto"/>
            <w:bottom w:val="none" w:sz="0" w:space="0" w:color="auto"/>
            <w:right w:val="none" w:sz="0" w:space="0" w:color="auto"/>
          </w:divBdr>
        </w:div>
        <w:div w:id="1592666833">
          <w:marLeft w:val="0"/>
          <w:marRight w:val="0"/>
          <w:marTop w:val="0"/>
          <w:marBottom w:val="0"/>
          <w:divBdr>
            <w:top w:val="none" w:sz="0" w:space="0" w:color="auto"/>
            <w:left w:val="none" w:sz="0" w:space="0" w:color="auto"/>
            <w:bottom w:val="none" w:sz="0" w:space="0" w:color="auto"/>
            <w:right w:val="none" w:sz="0" w:space="0" w:color="auto"/>
          </w:divBdr>
        </w:div>
        <w:div w:id="1592666834">
          <w:marLeft w:val="0"/>
          <w:marRight w:val="0"/>
          <w:marTop w:val="0"/>
          <w:marBottom w:val="0"/>
          <w:divBdr>
            <w:top w:val="none" w:sz="0" w:space="0" w:color="auto"/>
            <w:left w:val="none" w:sz="0" w:space="0" w:color="auto"/>
            <w:bottom w:val="none" w:sz="0" w:space="0" w:color="auto"/>
            <w:right w:val="none" w:sz="0" w:space="0" w:color="auto"/>
          </w:divBdr>
        </w:div>
        <w:div w:id="1592666835">
          <w:marLeft w:val="0"/>
          <w:marRight w:val="0"/>
          <w:marTop w:val="0"/>
          <w:marBottom w:val="0"/>
          <w:divBdr>
            <w:top w:val="none" w:sz="0" w:space="0" w:color="auto"/>
            <w:left w:val="none" w:sz="0" w:space="0" w:color="auto"/>
            <w:bottom w:val="none" w:sz="0" w:space="0" w:color="auto"/>
            <w:right w:val="none" w:sz="0" w:space="0" w:color="auto"/>
          </w:divBdr>
        </w:div>
        <w:div w:id="1592666836">
          <w:marLeft w:val="0"/>
          <w:marRight w:val="0"/>
          <w:marTop w:val="0"/>
          <w:marBottom w:val="0"/>
          <w:divBdr>
            <w:top w:val="none" w:sz="0" w:space="0" w:color="auto"/>
            <w:left w:val="none" w:sz="0" w:space="0" w:color="auto"/>
            <w:bottom w:val="none" w:sz="0" w:space="0" w:color="auto"/>
            <w:right w:val="none" w:sz="0" w:space="0" w:color="auto"/>
          </w:divBdr>
        </w:div>
        <w:div w:id="1592666837">
          <w:marLeft w:val="0"/>
          <w:marRight w:val="0"/>
          <w:marTop w:val="0"/>
          <w:marBottom w:val="0"/>
          <w:divBdr>
            <w:top w:val="none" w:sz="0" w:space="0" w:color="auto"/>
            <w:left w:val="none" w:sz="0" w:space="0" w:color="auto"/>
            <w:bottom w:val="none" w:sz="0" w:space="0" w:color="auto"/>
            <w:right w:val="none" w:sz="0" w:space="0" w:color="auto"/>
          </w:divBdr>
        </w:div>
        <w:div w:id="1592666838">
          <w:marLeft w:val="0"/>
          <w:marRight w:val="0"/>
          <w:marTop w:val="0"/>
          <w:marBottom w:val="0"/>
          <w:divBdr>
            <w:top w:val="none" w:sz="0" w:space="0" w:color="auto"/>
            <w:left w:val="none" w:sz="0" w:space="0" w:color="auto"/>
            <w:bottom w:val="none" w:sz="0" w:space="0" w:color="auto"/>
            <w:right w:val="none" w:sz="0" w:space="0" w:color="auto"/>
          </w:divBdr>
        </w:div>
        <w:div w:id="1592666839">
          <w:marLeft w:val="0"/>
          <w:marRight w:val="0"/>
          <w:marTop w:val="0"/>
          <w:marBottom w:val="0"/>
          <w:divBdr>
            <w:top w:val="none" w:sz="0" w:space="0" w:color="auto"/>
            <w:left w:val="none" w:sz="0" w:space="0" w:color="auto"/>
            <w:bottom w:val="none" w:sz="0" w:space="0" w:color="auto"/>
            <w:right w:val="none" w:sz="0" w:space="0" w:color="auto"/>
          </w:divBdr>
        </w:div>
        <w:div w:id="1592666840">
          <w:marLeft w:val="0"/>
          <w:marRight w:val="0"/>
          <w:marTop w:val="0"/>
          <w:marBottom w:val="0"/>
          <w:divBdr>
            <w:top w:val="none" w:sz="0" w:space="0" w:color="auto"/>
            <w:left w:val="none" w:sz="0" w:space="0" w:color="auto"/>
            <w:bottom w:val="none" w:sz="0" w:space="0" w:color="auto"/>
            <w:right w:val="none" w:sz="0" w:space="0" w:color="auto"/>
          </w:divBdr>
        </w:div>
        <w:div w:id="1592666841">
          <w:marLeft w:val="0"/>
          <w:marRight w:val="0"/>
          <w:marTop w:val="0"/>
          <w:marBottom w:val="0"/>
          <w:divBdr>
            <w:top w:val="none" w:sz="0" w:space="0" w:color="auto"/>
            <w:left w:val="none" w:sz="0" w:space="0" w:color="auto"/>
            <w:bottom w:val="none" w:sz="0" w:space="0" w:color="auto"/>
            <w:right w:val="none" w:sz="0" w:space="0" w:color="auto"/>
          </w:divBdr>
        </w:div>
        <w:div w:id="1592666842">
          <w:marLeft w:val="0"/>
          <w:marRight w:val="0"/>
          <w:marTop w:val="0"/>
          <w:marBottom w:val="0"/>
          <w:divBdr>
            <w:top w:val="none" w:sz="0" w:space="0" w:color="auto"/>
            <w:left w:val="none" w:sz="0" w:space="0" w:color="auto"/>
            <w:bottom w:val="none" w:sz="0" w:space="0" w:color="auto"/>
            <w:right w:val="none" w:sz="0" w:space="0" w:color="auto"/>
          </w:divBdr>
        </w:div>
      </w:divsChild>
    </w:div>
    <w:div w:id="1592666776">
      <w:marLeft w:val="0"/>
      <w:marRight w:val="0"/>
      <w:marTop w:val="0"/>
      <w:marBottom w:val="0"/>
      <w:divBdr>
        <w:top w:val="none" w:sz="0" w:space="0" w:color="auto"/>
        <w:left w:val="none" w:sz="0" w:space="0" w:color="auto"/>
        <w:bottom w:val="none" w:sz="0" w:space="0" w:color="auto"/>
        <w:right w:val="none" w:sz="0" w:space="0" w:color="auto"/>
      </w:divBdr>
    </w:div>
    <w:div w:id="1592666848">
      <w:marLeft w:val="0"/>
      <w:marRight w:val="0"/>
      <w:marTop w:val="0"/>
      <w:marBottom w:val="0"/>
      <w:divBdr>
        <w:top w:val="none" w:sz="0" w:space="0" w:color="auto"/>
        <w:left w:val="none" w:sz="0" w:space="0" w:color="auto"/>
        <w:bottom w:val="none" w:sz="0" w:space="0" w:color="auto"/>
        <w:right w:val="none" w:sz="0" w:space="0" w:color="auto"/>
      </w:divBdr>
      <w:divsChild>
        <w:div w:id="1592666853">
          <w:marLeft w:val="0"/>
          <w:marRight w:val="0"/>
          <w:marTop w:val="0"/>
          <w:marBottom w:val="0"/>
          <w:divBdr>
            <w:top w:val="none" w:sz="0" w:space="0" w:color="auto"/>
            <w:left w:val="none" w:sz="0" w:space="0" w:color="auto"/>
            <w:bottom w:val="none" w:sz="0" w:space="0" w:color="auto"/>
            <w:right w:val="none" w:sz="0" w:space="0" w:color="auto"/>
          </w:divBdr>
          <w:divsChild>
            <w:div w:id="1592666844">
              <w:marLeft w:val="0"/>
              <w:marRight w:val="0"/>
              <w:marTop w:val="0"/>
              <w:marBottom w:val="0"/>
              <w:divBdr>
                <w:top w:val="none" w:sz="0" w:space="0" w:color="auto"/>
                <w:left w:val="none" w:sz="0" w:space="0" w:color="auto"/>
                <w:bottom w:val="none" w:sz="0" w:space="0" w:color="auto"/>
                <w:right w:val="none" w:sz="0" w:space="0" w:color="auto"/>
              </w:divBdr>
              <w:divsChild>
                <w:div w:id="1592666845">
                  <w:marLeft w:val="0"/>
                  <w:marRight w:val="0"/>
                  <w:marTop w:val="0"/>
                  <w:marBottom w:val="0"/>
                  <w:divBdr>
                    <w:top w:val="none" w:sz="0" w:space="0" w:color="auto"/>
                    <w:left w:val="none" w:sz="0" w:space="0" w:color="auto"/>
                    <w:bottom w:val="none" w:sz="0" w:space="0" w:color="auto"/>
                    <w:right w:val="none" w:sz="0" w:space="0" w:color="auto"/>
                  </w:divBdr>
                  <w:divsChild>
                    <w:div w:id="1592666851">
                      <w:marLeft w:val="0"/>
                      <w:marRight w:val="0"/>
                      <w:marTop w:val="0"/>
                      <w:marBottom w:val="0"/>
                      <w:divBdr>
                        <w:top w:val="none" w:sz="0" w:space="0" w:color="auto"/>
                        <w:left w:val="none" w:sz="0" w:space="0" w:color="auto"/>
                        <w:bottom w:val="none" w:sz="0" w:space="0" w:color="auto"/>
                        <w:right w:val="none" w:sz="0" w:space="0" w:color="auto"/>
                      </w:divBdr>
                      <w:divsChild>
                        <w:div w:id="1592666854">
                          <w:marLeft w:val="0"/>
                          <w:marRight w:val="0"/>
                          <w:marTop w:val="0"/>
                          <w:marBottom w:val="0"/>
                          <w:divBdr>
                            <w:top w:val="none" w:sz="0" w:space="0" w:color="auto"/>
                            <w:left w:val="none" w:sz="0" w:space="0" w:color="auto"/>
                            <w:bottom w:val="none" w:sz="0" w:space="0" w:color="auto"/>
                            <w:right w:val="none" w:sz="0" w:space="0" w:color="auto"/>
                          </w:divBdr>
                          <w:divsChild>
                            <w:div w:id="1592666856">
                              <w:marLeft w:val="0"/>
                              <w:marRight w:val="0"/>
                              <w:marTop w:val="0"/>
                              <w:marBottom w:val="204"/>
                              <w:divBdr>
                                <w:top w:val="none" w:sz="0" w:space="0" w:color="auto"/>
                                <w:left w:val="none" w:sz="0" w:space="0" w:color="auto"/>
                                <w:bottom w:val="none" w:sz="0" w:space="0" w:color="auto"/>
                                <w:right w:val="none" w:sz="0" w:space="0" w:color="auto"/>
                              </w:divBdr>
                              <w:divsChild>
                                <w:div w:id="1592666847">
                                  <w:marLeft w:val="0"/>
                                  <w:marRight w:val="0"/>
                                  <w:marTop w:val="120"/>
                                  <w:marBottom w:val="120"/>
                                  <w:divBdr>
                                    <w:top w:val="none" w:sz="0" w:space="0" w:color="auto"/>
                                    <w:left w:val="none" w:sz="0" w:space="0" w:color="auto"/>
                                    <w:bottom w:val="none" w:sz="0" w:space="0" w:color="auto"/>
                                    <w:right w:val="none" w:sz="0" w:space="0" w:color="auto"/>
                                  </w:divBdr>
                                  <w:divsChild>
                                    <w:div w:id="1592666843">
                                      <w:marLeft w:val="0"/>
                                      <w:marRight w:val="0"/>
                                      <w:marTop w:val="0"/>
                                      <w:marBottom w:val="0"/>
                                      <w:divBdr>
                                        <w:top w:val="none" w:sz="0" w:space="0" w:color="auto"/>
                                        <w:left w:val="none" w:sz="0" w:space="0" w:color="auto"/>
                                        <w:bottom w:val="none" w:sz="0" w:space="0" w:color="auto"/>
                                        <w:right w:val="none" w:sz="0" w:space="0" w:color="auto"/>
                                      </w:divBdr>
                                      <w:divsChild>
                                        <w:div w:id="1592666858">
                                          <w:marLeft w:val="0"/>
                                          <w:marRight w:val="0"/>
                                          <w:marTop w:val="0"/>
                                          <w:marBottom w:val="0"/>
                                          <w:divBdr>
                                            <w:top w:val="none" w:sz="0" w:space="0" w:color="auto"/>
                                            <w:left w:val="none" w:sz="0" w:space="0" w:color="auto"/>
                                            <w:bottom w:val="none" w:sz="0" w:space="0" w:color="auto"/>
                                            <w:right w:val="none" w:sz="0" w:space="0" w:color="auto"/>
                                          </w:divBdr>
                                        </w:div>
                                      </w:divsChild>
                                    </w:div>
                                    <w:div w:id="1592666850">
                                      <w:marLeft w:val="180"/>
                                      <w:marRight w:val="180"/>
                                      <w:marTop w:val="36"/>
                                      <w:marBottom w:val="36"/>
                                      <w:divBdr>
                                        <w:top w:val="none" w:sz="0" w:space="0" w:color="auto"/>
                                        <w:left w:val="none" w:sz="0" w:space="0" w:color="auto"/>
                                        <w:bottom w:val="none" w:sz="0" w:space="0" w:color="auto"/>
                                        <w:right w:val="none" w:sz="0" w:space="0" w:color="auto"/>
                                      </w:divBdr>
                                    </w:div>
                                  </w:divsChild>
                                </w:div>
                              </w:divsChild>
                            </w:div>
                            <w:div w:id="1592666857">
                              <w:marLeft w:val="0"/>
                              <w:marRight w:val="0"/>
                              <w:marTop w:val="0"/>
                              <w:marBottom w:val="0"/>
                              <w:divBdr>
                                <w:top w:val="none" w:sz="0" w:space="0" w:color="auto"/>
                                <w:left w:val="none" w:sz="0" w:space="0" w:color="auto"/>
                                <w:bottom w:val="none" w:sz="0" w:space="0" w:color="auto"/>
                                <w:right w:val="none" w:sz="0" w:space="0" w:color="auto"/>
                              </w:divBdr>
                              <w:divsChild>
                                <w:div w:id="1592666846">
                                  <w:marLeft w:val="0"/>
                                  <w:marRight w:val="0"/>
                                  <w:marTop w:val="0"/>
                                  <w:marBottom w:val="0"/>
                                  <w:divBdr>
                                    <w:top w:val="none" w:sz="0" w:space="0" w:color="auto"/>
                                    <w:left w:val="none" w:sz="0" w:space="0" w:color="auto"/>
                                    <w:bottom w:val="none" w:sz="0" w:space="0" w:color="auto"/>
                                    <w:right w:val="none" w:sz="0" w:space="0" w:color="auto"/>
                                  </w:divBdr>
                                  <w:divsChild>
                                    <w:div w:id="1592666849">
                                      <w:marLeft w:val="120"/>
                                      <w:marRight w:val="0"/>
                                      <w:marTop w:val="60"/>
                                      <w:marBottom w:val="0"/>
                                      <w:divBdr>
                                        <w:top w:val="none" w:sz="0" w:space="0" w:color="auto"/>
                                        <w:left w:val="none" w:sz="0" w:space="0" w:color="auto"/>
                                        <w:bottom w:val="none" w:sz="0" w:space="0" w:color="auto"/>
                                        <w:right w:val="none" w:sz="0" w:space="0" w:color="auto"/>
                                      </w:divBdr>
                                    </w:div>
                                  </w:divsChild>
                                </w:div>
                                <w:div w:id="1592666855">
                                  <w:marLeft w:val="0"/>
                                  <w:marRight w:val="0"/>
                                  <w:marTop w:val="0"/>
                                  <w:marBottom w:val="0"/>
                                  <w:divBdr>
                                    <w:top w:val="none" w:sz="0" w:space="0" w:color="auto"/>
                                    <w:left w:val="none" w:sz="0" w:space="0" w:color="auto"/>
                                    <w:bottom w:val="none" w:sz="0" w:space="0" w:color="auto"/>
                                    <w:right w:val="none" w:sz="0" w:space="0" w:color="auto"/>
                                  </w:divBdr>
                                </w:div>
                              </w:divsChild>
                            </w:div>
                            <w:div w:id="1592666859">
                              <w:marLeft w:val="0"/>
                              <w:marRight w:val="0"/>
                              <w:marTop w:val="0"/>
                              <w:marBottom w:val="120"/>
                              <w:divBdr>
                                <w:top w:val="none" w:sz="0" w:space="0" w:color="auto"/>
                                <w:left w:val="none" w:sz="0" w:space="0" w:color="auto"/>
                                <w:bottom w:val="none" w:sz="0" w:space="0" w:color="auto"/>
                                <w:right w:val="none" w:sz="0" w:space="0" w:color="auto"/>
                              </w:divBdr>
                              <w:divsChild>
                                <w:div w:id="15926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ceoartisticopistoi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tsd010005@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1492</Words>
  <Characters>8505</Characters>
  <Application>Microsoft Office Outlook</Application>
  <DocSecurity>0</DocSecurity>
  <Lines>0</Lines>
  <Paragraphs>0</Paragraphs>
  <ScaleCrop>false</ScaleCrop>
  <Company>A&amp;G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Studenti,</dc:title>
  <dc:subject/>
  <dc:creator>Anna</dc:creator>
  <cp:keywords/>
  <dc:description/>
  <cp:lastModifiedBy>Cristina</cp:lastModifiedBy>
  <cp:revision>7</cp:revision>
  <dcterms:created xsi:type="dcterms:W3CDTF">2016-07-07T04:27:00Z</dcterms:created>
  <dcterms:modified xsi:type="dcterms:W3CDTF">2016-07-07T04:34:00Z</dcterms:modified>
</cp:coreProperties>
</file>